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osp-20260630.htm"/>
      <w:bookmarkStart w:id="1" w:name="ksiosp20260630"/>
      <w:bookmarkEnd w:id="0"/>
      <w:bookmarkEnd w:id="1"/>
      <w:r>
        <w:rPr/>
        <w:t> </w:t>
      </w:r>
    </w:p>
    <w:p>
      <w:pPr>
        <w:pStyle w:val="TextBody"/>
        <w:bidi w:val="0"/>
        <w:jc w:val="center"/>
        <w:rPr>
          <w:rFonts w:ascii="Times New Roman" w:hAnsi="Times New Roman"/>
          <w:b/>
          <w:color w:val="000000"/>
          <w:sz w:val="33"/>
        </w:rPr>
      </w:pPr>
      <w:r>
        <w:rPr>
          <w:rFonts w:ascii="Times New Roman" w:hAnsi="Times New Roman"/>
          <w:b/>
          <w:color w:val="000000"/>
          <w:sz w:val="33"/>
        </w:rPr>
        <w:t>UNITED STATES</w:t>
      </w:r>
    </w:p>
    <w:p>
      <w:pPr>
        <w:pStyle w:val="TextBody"/>
        <w:bidi w:val="0"/>
        <w:jc w:val="center"/>
        <w:rPr>
          <w:rFonts w:ascii="Times New Roman" w:hAnsi="Times New Roman"/>
          <w:b/>
          <w:color w:val="000000"/>
          <w:sz w:val="33"/>
        </w:rPr>
      </w:pPr>
      <w:r>
        <w:rPr>
          <w:rFonts w:ascii="Times New Roman" w:hAnsi="Times New Roman"/>
          <w:b/>
          <w:color w:val="000000"/>
          <w:sz w:val="33"/>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bidi w:val="0"/>
        <w:spacing w:before="120" w:after="283"/>
        <w:jc w:val="center"/>
        <w:rPr>
          <w:rFonts w:ascii="Times New Roman" w:hAnsi="Times New Roman"/>
          <w:b/>
          <w:color w:val="000000"/>
          <w:sz w:val="33"/>
        </w:rPr>
      </w:pPr>
      <w:r>
        <w:rPr>
          <w:rFonts w:ascii="Times New Roman" w:hAnsi="Times New Roman"/>
          <w:b/>
          <w:color w:val="000000"/>
          <w:sz w:val="33"/>
        </w:rPr>
        <w:t>FORM 10-Q</w:t>
      </w:r>
    </w:p>
    <w:p>
      <w:pPr>
        <w:pStyle w:val="TextBody"/>
        <w:bidi w:val="0"/>
        <w:spacing w:before="80" w:after="283"/>
        <w:jc w:val="left"/>
        <w:rPr/>
      </w:pPr>
      <w:r>
        <w:rPr>
          <w:color w:val="000000"/>
        </w:rPr>
        <w:t xml:space="preserve">☒ </w:t>
      </w:r>
      <w:r>
        <w:rPr>
          <w:rFonts w:ascii="Times New Roman" w:hAnsi="Times New Roman"/>
          <w:b/>
          <w:color w:val="000000"/>
          <w:sz w:val="22"/>
        </w:rPr>
        <w:t>QUARTERLY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18"/>
        </w:rPr>
        <w:t>For the quarterly period ended June 30, 2026</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or</w:t>
      </w:r>
    </w:p>
    <w:p>
      <w:pPr>
        <w:pStyle w:val="TextBody"/>
        <w:bidi w:val="0"/>
        <w:spacing w:before="12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p>
    <w:p>
      <w:pPr>
        <w:pStyle w:val="Heading2"/>
        <w:bidi w:val="0"/>
        <w:spacing w:before="120" w:after="283"/>
        <w:jc w:val="center"/>
        <w:rPr>
          <w:rFonts w:ascii="Times New Roman" w:hAnsi="Times New Roman"/>
          <w:color w:val="000000"/>
          <w:sz w:val="18"/>
        </w:rPr>
      </w:pPr>
      <w:r>
        <w:rPr>
          <w:rFonts w:ascii="Times New Roman" w:hAnsi="Times New Roman"/>
          <w:color w:val="000000"/>
          <w:sz w:val="18"/>
        </w:rPr>
        <w:t>For the transition period from to</w:t>
      </w:r>
    </w:p>
    <w:p>
      <w:pPr>
        <w:pStyle w:val="Heading2"/>
        <w:bidi w:val="0"/>
        <w:spacing w:before="120" w:after="283"/>
        <w:jc w:val="center"/>
        <w:rPr>
          <w:rFonts w:ascii="Times New Roman" w:hAnsi="Times New Roman"/>
          <w:sz w:val="20"/>
        </w:rPr>
      </w:pPr>
      <w:r>
        <w:rPr>
          <w:rFonts w:ascii="Times New Roman" w:hAnsi="Times New Roman"/>
          <w:color w:val="000000"/>
          <w:sz w:val="18"/>
        </w:rPr>
        <w:t xml:space="preserve">Commission file number </w:t>
      </w:r>
      <w:r>
        <w:rPr>
          <w:rFonts w:ascii="Times New Roman" w:hAnsi="Times New Roman"/>
          <w:b/>
          <w:color w:val="000000"/>
          <w:sz w:val="18"/>
        </w:rPr>
        <w:t>1-13879</w:t>
      </w:r>
    </w:p>
    <w:p>
      <w:pPr>
        <w:pStyle w:val="TextBody"/>
        <w:bidi w:val="0"/>
        <w:spacing w:before="200" w:after="283"/>
        <w:jc w:val="center"/>
        <w:rPr>
          <w:rFonts w:ascii="Times New Roman" w:hAnsi="Times New Roman"/>
          <w:b/>
          <w:color w:val="000000"/>
          <w:sz w:val="43"/>
        </w:rPr>
      </w:pPr>
      <w:r>
        <w:rPr>
          <w:rFonts w:ascii="Times New Roman" w:hAnsi="Times New Roman"/>
          <w:b/>
          <w:color w:val="000000"/>
          <w:sz w:val="43"/>
        </w:rPr>
        <w:t>INNOSPEC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bidi w:val="0"/>
        <w:jc w:val="left"/>
        <w:rPr/>
      </w:pPr>
      <w:r>
        <w:rPr/>
        <w:t> </w:t>
      </w:r>
    </w:p>
    <w:tbl>
      <w:tblPr>
        <w:tblW w:w="5508" w:type="dxa"/>
        <w:jc w:val="left"/>
        <w:tblInd w:w="0" w:type="dxa"/>
        <w:tblLayout w:type="fixed"/>
        <w:tblCellMar>
          <w:top w:w="28" w:type="dxa"/>
          <w:left w:w="28" w:type="dxa"/>
          <w:bottom w:w="28" w:type="dxa"/>
          <w:right w:w="28" w:type="dxa"/>
        </w:tblCellMar>
      </w:tblPr>
      <w:tblGrid>
        <w:gridCol w:w="161"/>
        <w:gridCol w:w="3736"/>
        <w:gridCol w:w="219"/>
        <w:gridCol w:w="120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7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19" w:type="dxa"/>
            <w:tcBorders/>
            <w:tcMar>
              <w:top w:w="0" w:type="dxa"/>
              <w:left w:w="0" w:type="dxa"/>
              <w:bottom w:w="0" w:type="dxa"/>
              <w:right w:w="0" w:type="dxa"/>
            </w:tcMar>
            <w:vAlign w:val="center"/>
          </w:tcPr>
          <w:p>
            <w:pPr>
              <w:pStyle w:val="TableContents"/>
              <w:bidi w:val="0"/>
              <w:spacing w:before="0" w:after="283"/>
              <w:ind w:left="0" w:right="0" w:firstLine="73"/>
              <w:jc w:val="center"/>
              <w:rPr/>
            </w:pPr>
            <w:r>
              <w:rPr/>
              <w:t> </w:t>
            </w:r>
          </w:p>
        </w:tc>
        <w:tc>
          <w:tcPr>
            <w:tcW w:w="1201" w:type="dxa"/>
            <w:tcBorders/>
            <w:tcMar>
              <w:top w:w="0" w:type="dxa"/>
              <w:left w:w="0" w:type="dxa"/>
              <w:bottom w:w="0" w:type="dxa"/>
              <w:right w:w="0" w:type="dxa"/>
            </w:tcMar>
            <w:vAlign w:val="center"/>
          </w:tcPr>
          <w:p>
            <w:pPr>
              <w:pStyle w:val="Heading1"/>
              <w:bidi w:val="0"/>
              <w:spacing w:before="240" w:after="283"/>
              <w:ind w:left="0" w:right="0" w:firstLine="73"/>
              <w:jc w:val="center"/>
              <w:rPr>
                <w:rFonts w:ascii="Times New Roman" w:hAnsi="Times New Roman"/>
                <w:b/>
                <w:color w:val="000000"/>
                <w:sz w:val="18"/>
              </w:rPr>
            </w:pPr>
            <w:r>
              <w:rPr>
                <w:rFonts w:ascii="Times New Roman" w:hAnsi="Times New Roman"/>
                <w:b/>
                <w:color w:val="000000"/>
                <w:sz w:val="18"/>
              </w:rPr>
              <w:t>98-0181725</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 incorporation or organization)</w:t>
            </w:r>
          </w:p>
        </w:tc>
        <w:tc>
          <w:tcPr>
            <w:tcW w:w="2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tcMar>
              <w:top w:w="0" w:type="dxa"/>
              <w:left w:w="0" w:type="dxa"/>
              <w:bottom w:w="0" w:type="dxa"/>
              <w:right w:w="0" w:type="dxa"/>
            </w:tcMar>
            <w:vAlign w:val="center"/>
          </w:tcPr>
          <w:p>
            <w:pPr>
              <w:pStyle w:val="TableContents"/>
              <w:bidi w:val="0"/>
              <w:jc w:val="center"/>
              <w:rPr>
                <w:rFonts w:ascii="Times New Roman" w:hAnsi="Times New Roman"/>
                <w:sz w:val="14"/>
              </w:rPr>
            </w:pPr>
            <w:r>
              <w:rPr>
                <w:rFonts w:ascii="Times New Roman" w:hAnsi="Times New Roman"/>
                <w:b/>
                <w:color w:val="000000"/>
                <w:sz w:val="14"/>
              </w:rPr>
              <w:t>(I.R.S. Employer</w:t>
            </w:r>
            <w:r>
              <w:rPr>
                <w:rFonts w:ascii="Times New Roman" w:hAnsi="Times New Roman"/>
                <w:color w:val="000000"/>
                <w:sz w:val="14"/>
              </w:rPr>
              <w:t xml:space="preserv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3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8"/>
              </w:rPr>
              <w:t>8310 South Valley Highway</w:t>
            </w:r>
            <w:r>
              <w:rPr>
                <w:rFonts w:ascii="Times New Roman" w:hAnsi="Times New Roman"/>
                <w:color w:val="000000"/>
                <w:sz w:val="20"/>
              </w:rPr>
              <w:t xml:space="preserve"> </w:t>
            </w:r>
            <w:r>
              <w:rPr>
                <w:rFonts w:ascii="Times New Roman" w:hAnsi="Times New Roman"/>
                <w:b/>
                <w:color w:val="000000"/>
                <w:sz w:val="18"/>
              </w:rPr>
              <w:t>Suite 350</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Englewood</w:t>
            </w:r>
          </w:p>
        </w:tc>
        <w:tc>
          <w:tcPr>
            <w:tcW w:w="2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Colorado</w:t>
            </w:r>
          </w:p>
        </w:tc>
        <w:tc>
          <w:tcPr>
            <w:tcW w:w="2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tcMar>
              <w:top w:w="0" w:type="dxa"/>
              <w:left w:w="0" w:type="dxa"/>
              <w:bottom w:w="0" w:type="dxa"/>
              <w:right w:w="0" w:type="dxa"/>
            </w:tcMar>
            <w:vAlign w:val="center"/>
          </w:tcPr>
          <w:p>
            <w:pPr>
              <w:pStyle w:val="Heading2"/>
              <w:bidi w:val="0"/>
              <w:spacing w:before="200" w:after="120"/>
              <w:jc w:val="center"/>
              <w:rPr>
                <w:rFonts w:ascii="Times New Roman" w:hAnsi="Times New Roman"/>
                <w:b/>
                <w:color w:val="000000"/>
                <w:sz w:val="18"/>
              </w:rPr>
            </w:pPr>
            <w:r>
              <w:rPr>
                <w:rFonts w:ascii="Times New Roman" w:hAnsi="Times New Roman"/>
                <w:b/>
                <w:color w:val="000000"/>
                <w:sz w:val="18"/>
              </w:rPr>
              <w:t>80112</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21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Heading1"/>
        <w:bidi w:val="0"/>
        <w:jc w:val="center"/>
        <w:rPr/>
      </w:pPr>
      <w:r>
        <w:rPr/>
        <w:t> </w:t>
      </w:r>
    </w:p>
    <w:p>
      <w:pPr>
        <w:pStyle w:val="Heading2"/>
        <w:bidi w:val="0"/>
        <w:jc w:val="center"/>
        <w:rPr>
          <w:rFonts w:ascii="Times New Roman" w:hAnsi="Times New Roman"/>
          <w:sz w:val="20"/>
        </w:rPr>
      </w:pPr>
      <w:r>
        <w:rPr>
          <w:rFonts w:ascii="Times New Roman" w:hAnsi="Times New Roman"/>
          <w:color w:val="000000"/>
          <w:sz w:val="18"/>
        </w:rPr>
        <w:t>Registrant’s telephone number, including area code: (</w:t>
      </w:r>
      <w:r>
        <w:rPr>
          <w:rFonts w:ascii="Times New Roman" w:hAnsi="Times New Roman"/>
          <w:b/>
          <w:color w:val="000000"/>
          <w:sz w:val="18"/>
        </w:rPr>
        <w:t>303</w:t>
      </w:r>
      <w:r>
        <w:rPr>
          <w:rFonts w:ascii="Times New Roman" w:hAnsi="Times New Roman"/>
          <w:color w:val="000000"/>
          <w:sz w:val="18"/>
        </w:rPr>
        <w:t xml:space="preserve">) </w:t>
      </w:r>
      <w:r>
        <w:rPr>
          <w:rFonts w:ascii="Times New Roman" w:hAnsi="Times New Roman"/>
          <w:b/>
          <w:color w:val="000000"/>
          <w:sz w:val="18"/>
        </w:rPr>
        <w:t>792 5554</w:t>
      </w:r>
    </w:p>
    <w:p>
      <w:pPr>
        <w:pStyle w:val="Heading2"/>
        <w:bidi w:val="0"/>
        <w:jc w:val="center"/>
        <w:rPr/>
      </w:pPr>
      <w:r>
        <w:rPr/>
        <w:t> </w:t>
      </w:r>
    </w:p>
    <w:p>
      <w:pPr>
        <w:pStyle w:val="Heading2"/>
        <w:bidi w:val="0"/>
        <w:jc w:val="center"/>
        <w:rPr>
          <w:rFonts w:ascii="Times New Roman" w:hAnsi="Times New Roman"/>
          <w:color w:val="000000"/>
          <w:sz w:val="18"/>
        </w:rPr>
      </w:pPr>
      <w:r>
        <w:rPr>
          <w:rFonts w:ascii="Times New Roman" w:hAnsi="Times New Roman"/>
          <w:color w:val="000000"/>
          <w:sz w:val="18"/>
        </w:rPr>
        <w:t>Securities registered pursuant to Section 12(b) of the Securities Exchange Act of 1934:</w:t>
      </w:r>
    </w:p>
    <w:p>
      <w:pPr>
        <w:pStyle w:val="Heading2"/>
        <w:bidi w:val="0"/>
        <w:jc w:val="center"/>
        <w:rPr/>
      </w:pPr>
      <w:r>
        <w:rPr/>
        <w:t> </w:t>
      </w:r>
    </w:p>
    <w:tbl>
      <w:tblPr>
        <w:tblW w:w="6273" w:type="dxa"/>
        <w:jc w:val="left"/>
        <w:tblInd w:w="0" w:type="dxa"/>
        <w:tblLayout w:type="fixed"/>
        <w:tblCellMar>
          <w:top w:w="28" w:type="dxa"/>
          <w:left w:w="28" w:type="dxa"/>
          <w:bottom w:w="28" w:type="dxa"/>
          <w:right w:w="28" w:type="dxa"/>
        </w:tblCellMar>
      </w:tblPr>
      <w:tblGrid>
        <w:gridCol w:w="3316"/>
        <w:gridCol w:w="146"/>
        <w:gridCol w:w="706"/>
        <w:gridCol w:w="589"/>
        <w:gridCol w:w="1516"/>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14"/>
              </w:rPr>
            </w:pPr>
            <w:r>
              <w:rPr>
                <w:rFonts w:ascii="Times New Roman" w:hAnsi="Times New Roman"/>
                <w:b/>
                <w:color w:val="000000"/>
                <w:sz w:val="14"/>
              </w:rPr>
              <w:t>Trading</w:t>
            </w:r>
            <w:r>
              <w:rPr>
                <w:rFonts w:ascii="Times New Roman" w:hAnsi="Times New Roman"/>
                <w:color w:val="000000"/>
                <w:sz w:val="14"/>
              </w:rPr>
              <w:t xml:space="preserv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589"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Name of each exchange</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on which registered</w:t>
            </w:r>
          </w:p>
        </w:tc>
      </w:tr>
      <w:tr>
        <w:trPr/>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IOSP</w:t>
            </w:r>
          </w:p>
        </w:tc>
        <w:tc>
          <w:tcPr>
            <w:tcW w:w="589" w:type="dxa"/>
            <w:tcBorders/>
            <w:tcMar>
              <w:top w:w="0" w:type="dxa"/>
              <w:left w:w="0" w:type="dxa"/>
              <w:bottom w:w="0" w:type="dxa"/>
              <w:right w:w="0" w:type="dxa"/>
            </w:tcMar>
            <w:vAlign w:val="center"/>
          </w:tcPr>
          <w:p>
            <w:pPr>
              <w:pStyle w:val="TableContents"/>
              <w:bidi w:val="0"/>
              <w:spacing w:before="0" w:after="283"/>
              <w:ind w:left="0" w:right="0" w:firstLine="443"/>
              <w:jc w:val="center"/>
              <w:rPr/>
            </w:pPr>
            <w:r>
              <w:rPr/>
              <w:t> </w:t>
            </w:r>
          </w:p>
        </w:tc>
        <w:tc>
          <w:tcPr>
            <w:tcW w:w="1516" w:type="dxa"/>
            <w:tcBorders/>
            <w:tcMar>
              <w:top w:w="0" w:type="dxa"/>
              <w:left w:w="0" w:type="dxa"/>
              <w:bottom w:w="0" w:type="dxa"/>
              <w:right w:w="0" w:type="dxa"/>
            </w:tcMar>
            <w:vAlign w:val="center"/>
          </w:tcPr>
          <w:p>
            <w:pPr>
              <w:pStyle w:val="Heading2"/>
              <w:bidi w:val="0"/>
              <w:spacing w:before="24" w:after="283"/>
              <w:ind w:left="0" w:right="0" w:firstLine="443"/>
              <w:jc w:val="center"/>
              <w:rPr>
                <w:rFonts w:ascii="Times New Roman" w:hAnsi="Times New Roman"/>
                <w:b/>
                <w:color w:val="000000"/>
                <w:sz w:val="18"/>
              </w:rPr>
            </w:pPr>
            <w:r>
              <w:rPr>
                <w:rFonts w:ascii="Times New Roman" w:hAnsi="Times New Roman"/>
                <w:b/>
                <w:color w:val="000000"/>
                <w:sz w:val="18"/>
              </w:rPr>
              <w:t>NASDAQ</w:t>
            </w:r>
          </w:p>
        </w:tc>
      </w:tr>
    </w:tbl>
    <w:p>
      <w:pPr>
        <w:pStyle w:val="TextBody"/>
        <w:bidi w:val="0"/>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(1) has filed </w:t>
      </w:r>
      <w:r>
        <w:rPr>
          <w:rFonts w:ascii="Times New Roman" w:hAnsi="Times New Roman"/>
          <w:color w:val="000000"/>
          <w:sz w:val="16"/>
        </w:rPr>
        <w:t>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is a large acce</w:t>
      </w:r>
      <w:r>
        <w:rPr>
          <w:rFonts w:ascii="Times New Roman" w:hAnsi="Times New Roman"/>
          <w:color w:val="000000"/>
          <w:sz w:val="18"/>
        </w:rPr>
        <w:t xml:space="preserve">lerated </w:t>
      </w:r>
      <w:r>
        <w:rPr>
          <w:rFonts w:ascii="Times New Roman" w:hAnsi="Times New Roman"/>
          <w:color w:val="000000"/>
          <w:sz w:val="16"/>
        </w:rPr>
        <w:t>filer, an accelerated filer, a non-accelerated filer, or a smaller reporting company, or an emerging growth company. See the definitions of “large accelerate</w:t>
      </w:r>
      <w:r>
        <w:rPr>
          <w:rFonts w:ascii="Times New Roman" w:hAnsi="Times New Roman"/>
          <w:color w:val="000000"/>
          <w:sz w:val="18"/>
        </w:rPr>
        <w:t>d filer,” “accelerated filer,” “smaller reporting company” and “emerging growth company” in Rule 12b-2 of the Exchange Act.</w:t>
      </w:r>
    </w:p>
    <w:p>
      <w:pPr>
        <w:pStyle w:val="TextBody"/>
        <w:bidi w:val="0"/>
        <w:spacing w:before="8" w:after="1"/>
        <w:jc w:val="left"/>
        <w:rPr/>
      </w:pPr>
      <w:r>
        <w:rPr/>
        <w:t> </w:t>
      </w:r>
    </w:p>
    <w:tbl>
      <w:tblPr>
        <w:tblW w:w="4759" w:type="dxa"/>
        <w:jc w:val="left"/>
        <w:tblInd w:w="0" w:type="dxa"/>
        <w:tblLayout w:type="fixed"/>
        <w:tblCellMar>
          <w:top w:w="28" w:type="dxa"/>
          <w:left w:w="28" w:type="dxa"/>
          <w:bottom w:w="28" w:type="dxa"/>
          <w:right w:w="28" w:type="dxa"/>
        </w:tblCellMar>
      </w:tblPr>
      <w:tblGrid>
        <w:gridCol w:w="2056"/>
        <w:gridCol w:w="31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21"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21"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76"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5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76"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50" w:after="283"/>
              <w:jc w:val="righ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76"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5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If an emerging growth company, indicate by check</w:t>
      </w:r>
      <w:r>
        <w:rPr>
          <w:rFonts w:ascii="Times New Roman" w:hAnsi="Times New Roman"/>
          <w:color w:val="000000"/>
          <w:sz w:val="20"/>
        </w:rPr>
        <w:t xml:space="preserve"> </w:t>
      </w:r>
      <w:r>
        <w:rPr>
          <w:rFonts w:ascii="Times New Roman" w:hAnsi="Times New Roman"/>
          <w:color w:val="000000"/>
          <w:sz w:val="16"/>
        </w:rPr>
        <w:t xml:space="preserve">mark if the registrant has elected not to use the extended transition period for complying with any new or revised financial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the number of shares outstanding of each of </w:t>
      </w:r>
      <w:r>
        <w:rPr>
          <w:rFonts w:ascii="Times New Roman" w:hAnsi="Times New Roman"/>
          <w:color w:val="000000"/>
          <w:sz w:val="18"/>
        </w:rPr>
        <w:t>the issuer’s classes of common stock, as of the latest practicable date.</w:t>
      </w:r>
    </w:p>
    <w:p>
      <w:pPr>
        <w:pStyle w:val="TextBody"/>
        <w:bidi w:val="0"/>
        <w:jc w:val="left"/>
        <w:rPr/>
      </w:pPr>
      <w:r>
        <w:rPr/>
        <w:t> </w:t>
      </w:r>
    </w:p>
    <w:tbl>
      <w:tblPr>
        <w:tblW w:w="5060" w:type="dxa"/>
        <w:jc w:val="left"/>
        <w:tblInd w:w="0" w:type="dxa"/>
        <w:tblLayout w:type="fixed"/>
        <w:tblCellMar>
          <w:top w:w="28" w:type="dxa"/>
          <w:left w:w="28" w:type="dxa"/>
          <w:bottom w:w="28" w:type="dxa"/>
          <w:right w:w="28" w:type="dxa"/>
        </w:tblCellMar>
      </w:tblPr>
      <w:tblGrid>
        <w:gridCol w:w="161"/>
        <w:gridCol w:w="2401"/>
        <w:gridCol w:w="223"/>
        <w:gridCol w:w="2084"/>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u w:val="single"/>
              </w:rPr>
            </w:pPr>
            <w:r>
              <w:rPr>
                <w:rFonts w:ascii="Times New Roman" w:hAnsi="Times New Roman"/>
                <w:b/>
                <w:color w:val="000000"/>
                <w:sz w:val="14"/>
                <w:u w:val="single"/>
              </w:rPr>
              <w:t>Class</w:t>
            </w:r>
          </w:p>
        </w:tc>
        <w:tc>
          <w:tcPr>
            <w:tcW w:w="223" w:type="dxa"/>
            <w:tcBorders/>
            <w:tcMar>
              <w:top w:w="0" w:type="dxa"/>
              <w:left w:w="0" w:type="dxa"/>
              <w:bottom w:w="0" w:type="dxa"/>
              <w:right w:w="0" w:type="dxa"/>
            </w:tcMar>
            <w:vAlign w:val="center"/>
          </w:tcPr>
          <w:p>
            <w:pPr>
              <w:pStyle w:val="TableContents"/>
              <w:bidi w:val="0"/>
              <w:spacing w:before="0" w:after="283"/>
              <w:ind w:left="0" w:right="0" w:firstLine="73"/>
              <w:jc w:val="center"/>
              <w:rPr/>
            </w:pPr>
            <w:r>
              <w:rPr/>
              <w:t> </w:t>
            </w:r>
          </w:p>
        </w:tc>
        <w:tc>
          <w:tcPr>
            <w:tcW w:w="2084" w:type="dxa"/>
            <w:tcBorders/>
            <w:tcMar>
              <w:top w:w="0" w:type="dxa"/>
              <w:left w:w="0" w:type="dxa"/>
              <w:bottom w:w="0" w:type="dxa"/>
              <w:right w:w="0" w:type="dxa"/>
            </w:tcMar>
            <w:vAlign w:val="center"/>
          </w:tcPr>
          <w:p>
            <w:pPr>
              <w:pStyle w:val="Heading1"/>
              <w:bidi w:val="0"/>
              <w:spacing w:before="240" w:after="283"/>
              <w:ind w:left="0" w:right="0" w:firstLine="73"/>
              <w:jc w:val="center"/>
              <w:rPr>
                <w:rFonts w:ascii="Times New Roman" w:hAnsi="Times New Roman"/>
                <w:color w:val="000000"/>
                <w:sz w:val="14"/>
                <w:u w:val="single"/>
              </w:rPr>
            </w:pPr>
            <w:r>
              <w:rPr>
                <w:rFonts w:ascii="Times New Roman" w:hAnsi="Times New Roman"/>
                <w:color w:val="000000"/>
                <w:sz w:val="14"/>
                <w:u w:val="single"/>
              </w:rPr>
              <w:t>Outstanding as of July 31, 2026</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$0.01</w:t>
            </w:r>
          </w:p>
        </w:tc>
        <w:tc>
          <w:tcPr>
            <w:tcW w:w="223" w:type="dxa"/>
            <w:tcBorders/>
            <w:tcMar>
              <w:top w:w="0" w:type="dxa"/>
              <w:left w:w="0" w:type="dxa"/>
              <w:bottom w:w="0" w:type="dxa"/>
              <w:right w:w="0" w:type="dxa"/>
            </w:tcMar>
            <w:vAlign w:val="center"/>
          </w:tcPr>
          <w:p>
            <w:pPr>
              <w:pStyle w:val="TableContents"/>
              <w:bidi w:val="0"/>
              <w:spacing w:before="0" w:after="283"/>
              <w:ind w:left="0" w:right="0" w:firstLine="77"/>
              <w:jc w:val="center"/>
              <w:rPr/>
            </w:pPr>
            <w:r>
              <w:rPr/>
              <w:t> </w:t>
            </w:r>
          </w:p>
        </w:tc>
        <w:tc>
          <w:tcPr>
            <w:tcW w:w="2084" w:type="dxa"/>
            <w:tcBorders/>
            <w:tcMar>
              <w:top w:w="0" w:type="dxa"/>
              <w:left w:w="0" w:type="dxa"/>
              <w:bottom w:w="0" w:type="dxa"/>
              <w:right w:w="0" w:type="dxa"/>
            </w:tcMar>
            <w:vAlign w:val="center"/>
          </w:tcPr>
          <w:p>
            <w:pPr>
              <w:pStyle w:val="TableContents"/>
              <w:bidi w:val="0"/>
              <w:spacing w:before="0" w:after="283"/>
              <w:ind w:left="0" w:right="0" w:firstLine="77"/>
              <w:jc w:val="center"/>
              <w:rPr>
                <w:rFonts w:ascii="Times New Roman" w:hAnsi="Times New Roman"/>
                <w:color w:val="000000"/>
                <w:sz w:val="18"/>
              </w:rPr>
            </w:pPr>
            <w:r>
              <w:rPr>
                <w:rFonts w:ascii="Times New Roman" w:hAnsi="Times New Roman"/>
                <w:color w:val="000000"/>
                <w:sz w:val="18"/>
              </w:rPr>
              <w:t>[24,631,047]</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jc w:val="center"/>
        <w:rPr/>
      </w:pPr>
      <w:r>
        <w:rPr/>
        <w:t> </w:t>
      </w:r>
    </w:p>
    <w:p>
      <w:pPr>
        <w:pStyle w:val="TextBody"/>
        <w:bidi w:val="0"/>
        <w:jc w:val="center"/>
        <w:rPr/>
      </w:pPr>
      <w:r>
        <w:rPr/>
        <w:t> </w:t>
      </w:r>
    </w:p>
    <w:p>
      <w:pPr>
        <w:pStyle w:val="TextBody"/>
        <w:bidi w:val="0"/>
        <w:spacing w:before="6" w:after="283"/>
        <w:jc w:val="left"/>
        <w:rPr/>
      </w:pPr>
      <w:r>
        <w:rPr/>
        <w:t> </w:t>
      </w:r>
    </w:p>
    <w:tbl>
      <w:tblPr>
        <w:tblW w:w="10205" w:type="dxa"/>
        <w:jc w:val="left"/>
        <w:tblInd w:w="0" w:type="dxa"/>
        <w:tblLayout w:type="fixed"/>
        <w:tblCellMar>
          <w:top w:w="28" w:type="dxa"/>
          <w:left w:w="28" w:type="dxa"/>
          <w:bottom w:w="28" w:type="dxa"/>
          <w:right w:w="28" w:type="dxa"/>
        </w:tblCellMar>
      </w:tblPr>
      <w:tblGrid>
        <w:gridCol w:w="1074"/>
        <w:gridCol w:w="8689"/>
        <w:gridCol w:w="442"/>
      </w:tblGrid>
      <w:tr>
        <w:trPr/>
        <w:tc>
          <w:tcPr>
            <w:tcW w:w="1074" w:type="dxa"/>
            <w:tcBorders/>
            <w:vAlign w:val="center"/>
          </w:tcPr>
          <w:p>
            <w:pPr>
              <w:pStyle w:val="TableContents"/>
              <w:bidi w:val="0"/>
              <w:spacing w:before="0" w:after="283"/>
              <w:jc w:val="left"/>
              <w:rPr>
                <w:sz w:val="4"/>
                <w:szCs w:val="4"/>
              </w:rPr>
            </w:pPr>
            <w:r>
              <w:rPr>
                <w:sz w:val="4"/>
                <w:szCs w:val="4"/>
              </w:rPr>
            </w:r>
          </w:p>
        </w:tc>
        <w:tc>
          <w:tcPr>
            <w:tcW w:w="868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ind w:left="0" w:right="0" w:firstLine="50"/>
              <w:jc w:val="left"/>
              <w:rPr>
                <w:sz w:val="4"/>
                <w:szCs w:val="4"/>
              </w:rPr>
            </w:pPr>
            <w:r>
              <w:rPr>
                <w:sz w:val="4"/>
                <w:szCs w:val="4"/>
              </w:rPr>
            </w:r>
          </w:p>
        </w:tc>
      </w:tr>
      <w:tr>
        <w:trPr/>
        <w:tc>
          <w:tcPr>
            <w:tcW w:w="1074" w:type="dxa"/>
            <w:tcBorders/>
            <w:tcMar>
              <w:top w:w="0" w:type="dxa"/>
              <w:left w:w="0" w:type="dxa"/>
              <w:bottom w:w="0" w:type="dxa"/>
              <w:right w:w="0" w:type="dxa"/>
            </w:tcMar>
            <w:vAlign w:val="center"/>
          </w:tcPr>
          <w:p>
            <w:pPr>
              <w:pStyle w:val="TableContents"/>
              <w:bidi w:val="0"/>
              <w:spacing w:before="21" w:after="283"/>
              <w:ind w:left="0" w:right="0" w:firstLine="221"/>
              <w:jc w:val="left"/>
              <w:rPr>
                <w:rFonts w:ascii="Times New Roman" w:hAnsi="Times New Roman"/>
                <w:color w:val="000000"/>
                <w:sz w:val="24"/>
              </w:rPr>
            </w:pPr>
            <w:r>
              <w:rPr>
                <w:rFonts w:ascii="Times New Roman" w:hAnsi="Times New Roman"/>
                <w:color w:val="000000"/>
                <w:sz w:val="24"/>
              </w:rPr>
              <w:t>PART I</w:t>
            </w:r>
          </w:p>
        </w:tc>
        <w:tc>
          <w:tcPr>
            <w:tcW w:w="8689" w:type="dxa"/>
            <w:tcBorders/>
            <w:tcMar>
              <w:top w:w="0" w:type="dxa"/>
              <w:left w:w="0" w:type="dxa"/>
              <w:bottom w:w="0" w:type="dxa"/>
              <w:right w:w="0" w:type="dxa"/>
            </w:tcMar>
            <w:vAlign w:val="center"/>
          </w:tcPr>
          <w:p>
            <w:pPr>
              <w:pStyle w:val="TableContents"/>
              <w:bidi w:val="0"/>
              <w:spacing w:before="21" w:after="283"/>
              <w:ind w:left="0" w:right="0" w:firstLine="221"/>
              <w:jc w:val="left"/>
              <w:rPr/>
            </w:pPr>
            <w:hyperlink w:anchor="part_i_financial_information">
              <w:r>
                <w:rPr>
                  <w:rStyle w:val="InternetLink"/>
                  <w:rFonts w:ascii="Times New Roman" w:hAnsi="Times New Roman"/>
                  <w:color w:val="0000FF"/>
                  <w:sz w:val="24"/>
                  <w:u w:val="single"/>
                </w:rPr>
                <w:t>FINANCIAL INFORMATION</w:t>
              </w:r>
            </w:hyperlink>
          </w:p>
        </w:tc>
        <w:tc>
          <w:tcPr>
            <w:tcW w:w="442" w:type="dxa"/>
            <w:tcBorders/>
            <w:tcMar>
              <w:top w:w="0" w:type="dxa"/>
              <w:left w:w="0" w:type="dxa"/>
              <w:bottom w:w="0" w:type="dxa"/>
              <w:right w:w="0" w:type="dxa"/>
            </w:tcMar>
            <w:vAlign w:val="center"/>
          </w:tcPr>
          <w:p>
            <w:pPr>
              <w:pStyle w:val="TableContents"/>
              <w:bidi w:val="0"/>
              <w:spacing w:before="21" w:after="283"/>
              <w:ind w:left="0" w:right="0" w:firstLine="50"/>
              <w:jc w:val="right"/>
              <w:rPr>
                <w:rFonts w:ascii="Times New Roman" w:hAnsi="Times New Roman"/>
                <w:color w:val="000000"/>
                <w:sz w:val="24"/>
              </w:rPr>
            </w:pPr>
            <w:r>
              <w:rPr>
                <w:rFonts w:ascii="Times New Roman" w:hAnsi="Times New Roman"/>
                <w:color w:val="000000"/>
                <w:sz w:val="24"/>
              </w:rPr>
              <w:t>2</w:t>
            </w:r>
          </w:p>
        </w:tc>
      </w:tr>
      <w:tr>
        <w:trPr/>
        <w:tc>
          <w:tcPr>
            <w:tcW w:w="1074" w:type="dxa"/>
            <w:tcBorders/>
            <w:tcMar>
              <w:top w:w="0" w:type="dxa"/>
              <w:left w:w="0" w:type="dxa"/>
              <w:bottom w:w="0" w:type="dxa"/>
              <w:right w:w="0" w:type="dxa"/>
            </w:tcMar>
            <w:vAlign w:val="center"/>
          </w:tcPr>
          <w:p>
            <w:pPr>
              <w:pStyle w:val="TableContents"/>
              <w:bidi w:val="0"/>
              <w:spacing w:before="63" w:after="283"/>
              <w:ind w:left="0" w:right="0" w:firstLine="221"/>
              <w:jc w:val="left"/>
              <w:rPr>
                <w:rFonts w:ascii="Times New Roman" w:hAnsi="Times New Roman"/>
                <w:color w:val="000000"/>
                <w:sz w:val="24"/>
              </w:rPr>
            </w:pPr>
            <w:r>
              <w:rPr>
                <w:rFonts w:ascii="Times New Roman" w:hAnsi="Times New Roman"/>
                <w:color w:val="000000"/>
                <w:sz w:val="24"/>
              </w:rPr>
              <w:t>Item 1</w:t>
            </w:r>
          </w:p>
        </w:tc>
        <w:tc>
          <w:tcPr>
            <w:tcW w:w="8689" w:type="dxa"/>
            <w:tcBorders/>
            <w:tcMar>
              <w:top w:w="0" w:type="dxa"/>
              <w:left w:w="0" w:type="dxa"/>
              <w:bottom w:w="0" w:type="dxa"/>
              <w:right w:w="0" w:type="dxa"/>
            </w:tcMar>
            <w:vAlign w:val="center"/>
          </w:tcPr>
          <w:p>
            <w:pPr>
              <w:pStyle w:val="TableContents"/>
              <w:bidi w:val="0"/>
              <w:spacing w:before="63" w:after="283"/>
              <w:ind w:left="0" w:right="0" w:firstLine="221"/>
              <w:jc w:val="left"/>
              <w:rPr/>
            </w:pPr>
            <w:hyperlink w:anchor="item_1_condensed_consolidated_financial">
              <w:r>
                <w:rPr>
                  <w:rStyle w:val="InternetLink"/>
                  <w:rFonts w:ascii="Times New Roman" w:hAnsi="Times New Roman"/>
                  <w:color w:val="0000FF"/>
                  <w:sz w:val="24"/>
                  <w:u w:val="single"/>
                </w:rPr>
                <w:t>Condensed Consolidated Financial Statements</w:t>
              </w:r>
            </w:hyperlink>
          </w:p>
        </w:tc>
        <w:tc>
          <w:tcPr>
            <w:tcW w:w="442" w:type="dxa"/>
            <w:tcBorders/>
            <w:tcMar>
              <w:top w:w="0" w:type="dxa"/>
              <w:left w:w="0" w:type="dxa"/>
              <w:bottom w:w="0" w:type="dxa"/>
              <w:right w:w="0" w:type="dxa"/>
            </w:tcMar>
            <w:vAlign w:val="center"/>
          </w:tcPr>
          <w:p>
            <w:pPr>
              <w:pStyle w:val="TableContents"/>
              <w:bidi w:val="0"/>
              <w:spacing w:before="63" w:after="283"/>
              <w:jc w:val="right"/>
              <w:rPr>
                <w:rFonts w:ascii="Times New Roman" w:hAnsi="Times New Roman"/>
                <w:color w:val="000000"/>
                <w:sz w:val="24"/>
              </w:rPr>
            </w:pPr>
            <w:r>
              <w:rPr>
                <w:rFonts w:ascii="Times New Roman" w:hAnsi="Times New Roman"/>
                <w:color w:val="000000"/>
                <w:sz w:val="24"/>
              </w:rPr>
              <w:t>2</w:t>
            </w:r>
          </w:p>
        </w:tc>
      </w:tr>
      <w:tr>
        <w:trPr/>
        <w:tc>
          <w:tcPr>
            <w:tcW w:w="1074" w:type="dxa"/>
            <w:tcBorders/>
            <w:tcMar>
              <w:top w:w="0" w:type="dxa"/>
              <w:left w:w="0" w:type="dxa"/>
              <w:bottom w:w="0" w:type="dxa"/>
              <w:right w:w="0" w:type="dxa"/>
            </w:tcMar>
            <w:vAlign w:val="center"/>
          </w:tcPr>
          <w:p>
            <w:pPr>
              <w:pStyle w:val="TableContents"/>
              <w:bidi w:val="0"/>
              <w:spacing w:before="0" w:after="283"/>
              <w:ind w:left="0" w:right="0" w:firstLine="221"/>
              <w:jc w:val="left"/>
              <w:rPr/>
            </w:pPr>
            <w:r>
              <w:rPr/>
              <w:t> </w:t>
            </w:r>
          </w:p>
        </w:tc>
        <w:tc>
          <w:tcPr>
            <w:tcW w:w="8689" w:type="dxa"/>
            <w:tcBorders/>
            <w:tcMar>
              <w:top w:w="0" w:type="dxa"/>
              <w:left w:w="0" w:type="dxa"/>
              <w:bottom w:w="0" w:type="dxa"/>
              <w:right w:w="0" w:type="dxa"/>
            </w:tcMar>
            <w:vAlign w:val="center"/>
          </w:tcPr>
          <w:p>
            <w:pPr>
              <w:pStyle w:val="TableContents"/>
              <w:bidi w:val="0"/>
              <w:spacing w:before="8" w:after="283"/>
              <w:ind w:left="0" w:right="0" w:firstLine="221"/>
              <w:jc w:val="left"/>
              <w:rPr/>
            </w:pPr>
            <w:hyperlink w:anchor="consolidated_statements_of_income">
              <w:r>
                <w:rPr>
                  <w:rStyle w:val="InternetLink"/>
                  <w:rFonts w:ascii="Times New Roman" w:hAnsi="Times New Roman"/>
                  <w:color w:val="0000FF"/>
                  <w:sz w:val="24"/>
                  <w:u w:val="single"/>
                </w:rPr>
                <w:t>Condensed Consolidated Statements of Income</w:t>
              </w:r>
            </w:hyperlink>
          </w:p>
        </w:tc>
        <w:tc>
          <w:tcPr>
            <w:tcW w:w="442" w:type="dxa"/>
            <w:tcBorders/>
            <w:tcMar>
              <w:top w:w="0" w:type="dxa"/>
              <w:left w:w="0" w:type="dxa"/>
              <w:bottom w:w="0" w:type="dxa"/>
              <w:right w:w="0" w:type="dxa"/>
            </w:tcMar>
            <w:vAlign w:val="center"/>
          </w:tcPr>
          <w:p>
            <w:pPr>
              <w:pStyle w:val="TableContents"/>
              <w:bidi w:val="0"/>
              <w:spacing w:before="8" w:after="283"/>
              <w:jc w:val="right"/>
              <w:rPr>
                <w:rFonts w:ascii="Times New Roman" w:hAnsi="Times New Roman"/>
                <w:color w:val="000000"/>
                <w:sz w:val="24"/>
              </w:rPr>
            </w:pPr>
            <w:r>
              <w:rPr>
                <w:rFonts w:ascii="Times New Roman" w:hAnsi="Times New Roman"/>
                <w:color w:val="000000"/>
                <w:sz w:val="24"/>
              </w:rPr>
              <w:t>2</w:t>
            </w:r>
          </w:p>
        </w:tc>
      </w:tr>
      <w:tr>
        <w:trPr/>
        <w:tc>
          <w:tcPr>
            <w:tcW w:w="1074" w:type="dxa"/>
            <w:tcBorders/>
            <w:tcMar>
              <w:top w:w="0" w:type="dxa"/>
              <w:left w:w="0" w:type="dxa"/>
              <w:bottom w:w="0" w:type="dxa"/>
              <w:right w:w="0" w:type="dxa"/>
            </w:tcMar>
            <w:vAlign w:val="center"/>
          </w:tcPr>
          <w:p>
            <w:pPr>
              <w:pStyle w:val="TableContents"/>
              <w:bidi w:val="0"/>
              <w:spacing w:before="0" w:after="283"/>
              <w:ind w:left="0" w:right="0" w:firstLine="221"/>
              <w:jc w:val="left"/>
              <w:rPr/>
            </w:pPr>
            <w:r>
              <w:rPr/>
              <w:t> </w:t>
            </w:r>
          </w:p>
        </w:tc>
        <w:tc>
          <w:tcPr>
            <w:tcW w:w="8689" w:type="dxa"/>
            <w:tcBorders/>
            <w:tcMar>
              <w:top w:w="0" w:type="dxa"/>
              <w:left w:w="0" w:type="dxa"/>
              <w:bottom w:w="0" w:type="dxa"/>
              <w:right w:w="0" w:type="dxa"/>
            </w:tcMar>
            <w:vAlign w:val="center"/>
          </w:tcPr>
          <w:p>
            <w:pPr>
              <w:pStyle w:val="TableContents"/>
              <w:bidi w:val="0"/>
              <w:spacing w:before="8" w:after="283"/>
              <w:ind w:left="0" w:right="0" w:firstLine="221"/>
              <w:jc w:val="left"/>
              <w:rPr/>
            </w:pPr>
            <w:hyperlink w:anchor="consolidated_statements_of_comprehensive">
              <w:r>
                <w:rPr>
                  <w:rStyle w:val="InternetLink"/>
                  <w:rFonts w:ascii="Times New Roman" w:hAnsi="Times New Roman"/>
                  <w:color w:val="0000FF"/>
                  <w:sz w:val="24"/>
                  <w:u w:val="single"/>
                </w:rPr>
                <w:t>Condensed Consolidated Statements of Comprehensive Income</w:t>
              </w:r>
            </w:hyperlink>
          </w:p>
        </w:tc>
        <w:tc>
          <w:tcPr>
            <w:tcW w:w="442" w:type="dxa"/>
            <w:tcBorders/>
            <w:tcMar>
              <w:top w:w="0" w:type="dxa"/>
              <w:left w:w="0" w:type="dxa"/>
              <w:bottom w:w="0" w:type="dxa"/>
              <w:right w:w="0" w:type="dxa"/>
            </w:tcMar>
            <w:vAlign w:val="center"/>
          </w:tcPr>
          <w:p>
            <w:pPr>
              <w:pStyle w:val="TableContents"/>
              <w:bidi w:val="0"/>
              <w:spacing w:before="8" w:after="283"/>
              <w:jc w:val="right"/>
              <w:rPr>
                <w:rFonts w:ascii="Times New Roman" w:hAnsi="Times New Roman"/>
                <w:color w:val="000000"/>
                <w:sz w:val="24"/>
              </w:rPr>
            </w:pPr>
            <w:r>
              <w:rPr>
                <w:rFonts w:ascii="Times New Roman" w:hAnsi="Times New Roman"/>
                <w:color w:val="000000"/>
                <w:sz w:val="24"/>
              </w:rPr>
              <w:t>3</w:t>
            </w:r>
          </w:p>
        </w:tc>
      </w:tr>
      <w:tr>
        <w:trPr/>
        <w:tc>
          <w:tcPr>
            <w:tcW w:w="1074" w:type="dxa"/>
            <w:tcBorders/>
            <w:tcMar>
              <w:top w:w="0" w:type="dxa"/>
              <w:left w:w="0" w:type="dxa"/>
              <w:bottom w:w="0" w:type="dxa"/>
              <w:right w:w="0" w:type="dxa"/>
            </w:tcMar>
            <w:vAlign w:val="center"/>
          </w:tcPr>
          <w:p>
            <w:pPr>
              <w:pStyle w:val="TableContents"/>
              <w:bidi w:val="0"/>
              <w:spacing w:before="0" w:after="283"/>
              <w:ind w:left="0" w:right="0" w:firstLine="221"/>
              <w:jc w:val="left"/>
              <w:rPr/>
            </w:pPr>
            <w:r>
              <w:rPr/>
              <w:t> </w:t>
            </w:r>
          </w:p>
        </w:tc>
        <w:tc>
          <w:tcPr>
            <w:tcW w:w="8689" w:type="dxa"/>
            <w:tcBorders/>
            <w:tcMar>
              <w:top w:w="0" w:type="dxa"/>
              <w:left w:w="0" w:type="dxa"/>
              <w:bottom w:w="0" w:type="dxa"/>
              <w:right w:w="0" w:type="dxa"/>
            </w:tcMar>
            <w:vAlign w:val="center"/>
          </w:tcPr>
          <w:p>
            <w:pPr>
              <w:pStyle w:val="TableContents"/>
              <w:bidi w:val="0"/>
              <w:spacing w:before="8" w:after="283"/>
              <w:ind w:left="0" w:right="0" w:firstLine="221"/>
              <w:jc w:val="left"/>
              <w:rPr/>
            </w:pPr>
            <w:hyperlink w:anchor="condensed_consolidated_balance_sheets">
              <w:r>
                <w:rPr>
                  <w:rStyle w:val="InternetLink"/>
                  <w:rFonts w:ascii="Times New Roman" w:hAnsi="Times New Roman"/>
                  <w:color w:val="0000FF"/>
                  <w:sz w:val="24"/>
                  <w:u w:val="single"/>
                </w:rPr>
                <w:t>Condensed Consolidated Balance Sheets</w:t>
              </w:r>
            </w:hyperlink>
          </w:p>
        </w:tc>
        <w:tc>
          <w:tcPr>
            <w:tcW w:w="442" w:type="dxa"/>
            <w:tcBorders/>
            <w:tcMar>
              <w:top w:w="0" w:type="dxa"/>
              <w:left w:w="0" w:type="dxa"/>
              <w:bottom w:w="0" w:type="dxa"/>
              <w:right w:w="0" w:type="dxa"/>
            </w:tcMar>
            <w:vAlign w:val="center"/>
          </w:tcPr>
          <w:p>
            <w:pPr>
              <w:pStyle w:val="TableContents"/>
              <w:bidi w:val="0"/>
              <w:spacing w:before="8" w:after="283"/>
              <w:jc w:val="right"/>
              <w:rPr>
                <w:rFonts w:ascii="Times New Roman" w:hAnsi="Times New Roman"/>
                <w:color w:val="000000"/>
                <w:sz w:val="24"/>
              </w:rPr>
            </w:pPr>
            <w:r>
              <w:rPr>
                <w:rFonts w:ascii="Times New Roman" w:hAnsi="Times New Roman"/>
                <w:color w:val="000000"/>
                <w:sz w:val="24"/>
              </w:rPr>
              <w:t>4</w:t>
            </w:r>
          </w:p>
        </w:tc>
      </w:tr>
      <w:tr>
        <w:trPr/>
        <w:tc>
          <w:tcPr>
            <w:tcW w:w="1074" w:type="dxa"/>
            <w:tcBorders/>
            <w:tcMar>
              <w:top w:w="0" w:type="dxa"/>
              <w:left w:w="0" w:type="dxa"/>
              <w:bottom w:w="0" w:type="dxa"/>
              <w:right w:w="0" w:type="dxa"/>
            </w:tcMar>
            <w:vAlign w:val="center"/>
          </w:tcPr>
          <w:p>
            <w:pPr>
              <w:pStyle w:val="TableContents"/>
              <w:bidi w:val="0"/>
              <w:spacing w:before="0" w:after="283"/>
              <w:ind w:left="0" w:right="0" w:firstLine="221"/>
              <w:jc w:val="left"/>
              <w:rPr/>
            </w:pPr>
            <w:r>
              <w:rPr/>
              <w:t> </w:t>
            </w:r>
          </w:p>
        </w:tc>
        <w:tc>
          <w:tcPr>
            <w:tcW w:w="8689" w:type="dxa"/>
            <w:tcBorders/>
            <w:tcMar>
              <w:top w:w="0" w:type="dxa"/>
              <w:left w:w="0" w:type="dxa"/>
              <w:bottom w:w="0" w:type="dxa"/>
              <w:right w:w="0" w:type="dxa"/>
            </w:tcMar>
            <w:vAlign w:val="center"/>
          </w:tcPr>
          <w:p>
            <w:pPr>
              <w:pStyle w:val="TableContents"/>
              <w:bidi w:val="0"/>
              <w:spacing w:before="8" w:after="283"/>
              <w:ind w:left="0" w:right="0" w:firstLine="221"/>
              <w:jc w:val="left"/>
              <w:rPr/>
            </w:pPr>
            <w:hyperlink w:anchor="consolidated_statements_of_cash_flows">
              <w:r>
                <w:rPr>
                  <w:rStyle w:val="InternetLink"/>
                  <w:rFonts w:ascii="Times New Roman" w:hAnsi="Times New Roman"/>
                  <w:color w:val="0000FF"/>
                  <w:sz w:val="24"/>
                  <w:u w:val="single"/>
                </w:rPr>
                <w:t>Condensed Consolidated Statements of Cash Flows</w:t>
              </w:r>
            </w:hyperlink>
          </w:p>
        </w:tc>
        <w:tc>
          <w:tcPr>
            <w:tcW w:w="442" w:type="dxa"/>
            <w:tcBorders/>
            <w:tcMar>
              <w:top w:w="0" w:type="dxa"/>
              <w:left w:w="0" w:type="dxa"/>
              <w:bottom w:w="0" w:type="dxa"/>
              <w:right w:w="0" w:type="dxa"/>
            </w:tcMar>
            <w:vAlign w:val="center"/>
          </w:tcPr>
          <w:p>
            <w:pPr>
              <w:pStyle w:val="TableContents"/>
              <w:bidi w:val="0"/>
              <w:spacing w:before="8" w:after="283"/>
              <w:jc w:val="right"/>
              <w:rPr>
                <w:rFonts w:ascii="Times New Roman" w:hAnsi="Times New Roman"/>
                <w:color w:val="000000"/>
                <w:sz w:val="24"/>
              </w:rPr>
            </w:pPr>
            <w:r>
              <w:rPr>
                <w:rFonts w:ascii="Times New Roman" w:hAnsi="Times New Roman"/>
                <w:color w:val="000000"/>
                <w:sz w:val="24"/>
              </w:rPr>
              <w:t>5</w:t>
            </w:r>
          </w:p>
        </w:tc>
      </w:tr>
      <w:tr>
        <w:trPr/>
        <w:tc>
          <w:tcPr>
            <w:tcW w:w="1074" w:type="dxa"/>
            <w:tcBorders/>
            <w:tcMar>
              <w:top w:w="0" w:type="dxa"/>
              <w:left w:w="0" w:type="dxa"/>
              <w:bottom w:w="0" w:type="dxa"/>
              <w:right w:w="0" w:type="dxa"/>
            </w:tcMar>
            <w:vAlign w:val="center"/>
          </w:tcPr>
          <w:p>
            <w:pPr>
              <w:pStyle w:val="TableContents"/>
              <w:bidi w:val="0"/>
              <w:spacing w:before="0" w:after="283"/>
              <w:ind w:left="0" w:right="0" w:firstLine="221"/>
              <w:jc w:val="left"/>
              <w:rPr/>
            </w:pPr>
            <w:r>
              <w:rPr/>
              <w:t> </w:t>
            </w:r>
          </w:p>
        </w:tc>
        <w:tc>
          <w:tcPr>
            <w:tcW w:w="8689" w:type="dxa"/>
            <w:tcBorders/>
            <w:tcMar>
              <w:top w:w="0" w:type="dxa"/>
              <w:left w:w="0" w:type="dxa"/>
              <w:bottom w:w="0" w:type="dxa"/>
              <w:right w:w="0" w:type="dxa"/>
            </w:tcMar>
            <w:vAlign w:val="center"/>
          </w:tcPr>
          <w:p>
            <w:pPr>
              <w:pStyle w:val="TableContents"/>
              <w:bidi w:val="0"/>
              <w:spacing w:before="8" w:after="283"/>
              <w:ind w:left="0" w:right="0" w:firstLine="221"/>
              <w:jc w:val="left"/>
              <w:rPr/>
            </w:pPr>
            <w:hyperlink w:anchor="consolidated_statements_of_equity">
              <w:r>
                <w:rPr>
                  <w:rStyle w:val="InternetLink"/>
                  <w:rFonts w:ascii="Times New Roman" w:hAnsi="Times New Roman"/>
                  <w:color w:val="0000FF"/>
                  <w:sz w:val="24"/>
                  <w:u w:val="single"/>
                </w:rPr>
                <w:t>Condensed Consolidated Statements of Equity</w:t>
              </w:r>
            </w:hyperlink>
          </w:p>
        </w:tc>
        <w:tc>
          <w:tcPr>
            <w:tcW w:w="442" w:type="dxa"/>
            <w:tcBorders/>
            <w:tcMar>
              <w:top w:w="0" w:type="dxa"/>
              <w:left w:w="0" w:type="dxa"/>
              <w:bottom w:w="0" w:type="dxa"/>
              <w:right w:w="0" w:type="dxa"/>
            </w:tcMar>
            <w:vAlign w:val="center"/>
          </w:tcPr>
          <w:p>
            <w:pPr>
              <w:pStyle w:val="TableContents"/>
              <w:bidi w:val="0"/>
              <w:spacing w:before="8" w:after="283"/>
              <w:jc w:val="right"/>
              <w:rPr>
                <w:rFonts w:ascii="Times New Roman" w:hAnsi="Times New Roman"/>
                <w:color w:val="000000"/>
                <w:sz w:val="24"/>
              </w:rPr>
            </w:pPr>
            <w:r>
              <w:rPr>
                <w:rFonts w:ascii="Times New Roman" w:hAnsi="Times New Roman"/>
                <w:color w:val="000000"/>
                <w:sz w:val="24"/>
              </w:rPr>
              <w:t>6</w:t>
            </w:r>
          </w:p>
        </w:tc>
      </w:tr>
      <w:tr>
        <w:trPr/>
        <w:tc>
          <w:tcPr>
            <w:tcW w:w="1074" w:type="dxa"/>
            <w:tcBorders/>
            <w:tcMar>
              <w:top w:w="0" w:type="dxa"/>
              <w:left w:w="0" w:type="dxa"/>
              <w:bottom w:w="0" w:type="dxa"/>
              <w:right w:w="0" w:type="dxa"/>
            </w:tcMar>
            <w:vAlign w:val="center"/>
          </w:tcPr>
          <w:p>
            <w:pPr>
              <w:pStyle w:val="TableContents"/>
              <w:bidi w:val="0"/>
              <w:spacing w:before="0" w:after="283"/>
              <w:ind w:left="0" w:right="0" w:firstLine="221"/>
              <w:jc w:val="left"/>
              <w:rPr/>
            </w:pPr>
            <w:r>
              <w:rPr/>
              <w:t> </w:t>
            </w:r>
          </w:p>
        </w:tc>
        <w:tc>
          <w:tcPr>
            <w:tcW w:w="8689" w:type="dxa"/>
            <w:tcBorders/>
            <w:tcMar>
              <w:top w:w="0" w:type="dxa"/>
              <w:left w:w="0" w:type="dxa"/>
              <w:bottom w:w="0" w:type="dxa"/>
              <w:right w:w="0" w:type="dxa"/>
            </w:tcMar>
            <w:vAlign w:val="center"/>
          </w:tcPr>
          <w:p>
            <w:pPr>
              <w:pStyle w:val="TableContents"/>
              <w:bidi w:val="0"/>
              <w:spacing w:before="8" w:after="283"/>
              <w:ind w:left="0" w:right="0" w:firstLine="221"/>
              <w:jc w:val="left"/>
              <w:rPr/>
            </w:pPr>
            <w:hyperlink w:anchor="notes_to_the_unaudited_interim_condensed">
              <w:r>
                <w:rPr>
                  <w:rStyle w:val="InternetLink"/>
                  <w:rFonts w:ascii="Times New Roman" w:hAnsi="Times New Roman"/>
                  <w:color w:val="0000FF"/>
                  <w:sz w:val="24"/>
                  <w:u w:val="single"/>
                </w:rPr>
                <w:t>Notes To The Unaudited Interim Condensed Consolidated Financial Statements</w:t>
              </w:r>
            </w:hyperlink>
          </w:p>
        </w:tc>
        <w:tc>
          <w:tcPr>
            <w:tcW w:w="442" w:type="dxa"/>
            <w:tcBorders/>
            <w:tcMar>
              <w:top w:w="0" w:type="dxa"/>
              <w:left w:w="0" w:type="dxa"/>
              <w:bottom w:w="0" w:type="dxa"/>
              <w:right w:w="0" w:type="dxa"/>
            </w:tcMar>
            <w:vAlign w:val="center"/>
          </w:tcPr>
          <w:p>
            <w:pPr>
              <w:pStyle w:val="TableContents"/>
              <w:bidi w:val="0"/>
              <w:spacing w:before="8" w:after="283"/>
              <w:jc w:val="right"/>
              <w:rPr>
                <w:rFonts w:ascii="Times New Roman" w:hAnsi="Times New Roman"/>
                <w:color w:val="000000"/>
                <w:sz w:val="24"/>
              </w:rPr>
            </w:pPr>
            <w:r>
              <w:rPr>
                <w:rFonts w:ascii="Times New Roman" w:hAnsi="Times New Roman"/>
                <w:color w:val="000000"/>
                <w:sz w:val="24"/>
              </w:rPr>
              <w:t>7</w:t>
            </w:r>
          </w:p>
        </w:tc>
      </w:tr>
      <w:tr>
        <w:trPr/>
        <w:tc>
          <w:tcPr>
            <w:tcW w:w="1074" w:type="dxa"/>
            <w:tcBorders/>
            <w:tcMar>
              <w:top w:w="0" w:type="dxa"/>
              <w:left w:w="0" w:type="dxa"/>
              <w:bottom w:w="0" w:type="dxa"/>
              <w:right w:w="0" w:type="dxa"/>
            </w:tcMar>
            <w:vAlign w:val="center"/>
          </w:tcPr>
          <w:p>
            <w:pPr>
              <w:pStyle w:val="TableContents"/>
              <w:bidi w:val="0"/>
              <w:spacing w:before="0" w:after="283"/>
              <w:ind w:left="0" w:right="0" w:firstLine="221"/>
              <w:jc w:val="left"/>
              <w:rPr>
                <w:rFonts w:ascii="Times New Roman" w:hAnsi="Times New Roman"/>
                <w:color w:val="000000"/>
                <w:sz w:val="24"/>
              </w:rPr>
            </w:pPr>
            <w:r>
              <w:rPr>
                <w:rFonts w:ascii="Times New Roman" w:hAnsi="Times New Roman"/>
                <w:color w:val="000000"/>
                <w:sz w:val="24"/>
              </w:rPr>
              <w:t>Item 2</w:t>
            </w:r>
          </w:p>
        </w:tc>
        <w:tc>
          <w:tcPr>
            <w:tcW w:w="8689" w:type="dxa"/>
            <w:tcBorders/>
            <w:tcMar>
              <w:top w:w="0" w:type="dxa"/>
              <w:left w:w="0" w:type="dxa"/>
              <w:bottom w:w="0" w:type="dxa"/>
              <w:right w:w="0" w:type="dxa"/>
            </w:tcMar>
            <w:vAlign w:val="center"/>
          </w:tcPr>
          <w:p>
            <w:pPr>
              <w:pStyle w:val="TableContents"/>
              <w:bidi w:val="0"/>
              <w:spacing w:before="8" w:after="283"/>
              <w:ind w:left="0" w:right="0" w:firstLine="221"/>
              <w:jc w:val="left"/>
              <w:rPr/>
            </w:pPr>
            <w:hyperlink w:anchor="management_discussion_and_analysis">
              <w:r>
                <w:rPr>
                  <w:rStyle w:val="InternetLink"/>
                  <w:rFonts w:ascii="Times New Roman" w:hAnsi="Times New Roman"/>
                  <w:color w:val="0000FF"/>
                  <w:sz w:val="24"/>
                  <w:u w:val="single"/>
                </w:rPr>
                <w:t>Management’s Discussion and Analysis of Financial Condition and Results of Operations for the Three and Six months ended June 30, 2026</w:t>
              </w:r>
            </w:hyperlink>
          </w:p>
        </w:tc>
        <w:tc>
          <w:tcPr>
            <w:tcW w:w="442" w:type="dxa"/>
            <w:tcBorders/>
            <w:tcMar>
              <w:top w:w="0" w:type="dxa"/>
              <w:left w:w="0" w:type="dxa"/>
              <w:bottom w:w="0" w:type="dxa"/>
              <w:right w:w="0" w:type="dxa"/>
            </w:tcMar>
            <w:vAlign w:val="center"/>
          </w:tcPr>
          <w:p>
            <w:pPr>
              <w:pStyle w:val="TableContents"/>
              <w:bidi w:val="0"/>
              <w:spacing w:before="8" w:after="283"/>
              <w:jc w:val="right"/>
              <w:rPr>
                <w:rFonts w:ascii="Times New Roman" w:hAnsi="Times New Roman"/>
                <w:color w:val="000000"/>
                <w:sz w:val="24"/>
              </w:rPr>
            </w:pPr>
            <w:r>
              <w:rPr>
                <w:rFonts w:ascii="Times New Roman" w:hAnsi="Times New Roman"/>
                <w:color w:val="000000"/>
                <w:sz w:val="24"/>
              </w:rPr>
              <w:t>16</w:t>
            </w:r>
          </w:p>
        </w:tc>
      </w:tr>
      <w:tr>
        <w:trPr/>
        <w:tc>
          <w:tcPr>
            <w:tcW w:w="1074" w:type="dxa"/>
            <w:tcBorders/>
            <w:tcMar>
              <w:top w:w="0" w:type="dxa"/>
              <w:left w:w="0" w:type="dxa"/>
              <w:bottom w:w="0" w:type="dxa"/>
              <w:right w:w="0" w:type="dxa"/>
            </w:tcMar>
            <w:vAlign w:val="center"/>
          </w:tcPr>
          <w:p>
            <w:pPr>
              <w:pStyle w:val="TableContents"/>
              <w:bidi w:val="0"/>
              <w:spacing w:before="0" w:after="283"/>
              <w:ind w:left="0" w:right="0" w:firstLine="221"/>
              <w:jc w:val="left"/>
              <w:rPr/>
            </w:pPr>
            <w:r>
              <w:rPr/>
              <w:t> </w:t>
            </w:r>
          </w:p>
        </w:tc>
        <w:tc>
          <w:tcPr>
            <w:tcW w:w="8689" w:type="dxa"/>
            <w:tcBorders/>
            <w:tcMar>
              <w:top w:w="0" w:type="dxa"/>
              <w:left w:w="0" w:type="dxa"/>
              <w:bottom w:w="0" w:type="dxa"/>
              <w:right w:w="0" w:type="dxa"/>
            </w:tcMar>
            <w:vAlign w:val="center"/>
          </w:tcPr>
          <w:p>
            <w:pPr>
              <w:pStyle w:val="TableContents"/>
              <w:bidi w:val="0"/>
              <w:spacing w:before="8" w:after="283"/>
              <w:ind w:left="0" w:right="0" w:firstLine="221"/>
              <w:jc w:val="left"/>
              <w:rPr/>
            </w:pPr>
            <w:hyperlink w:anchor="critical_accounting_estimates">
              <w:r>
                <w:rPr>
                  <w:rStyle w:val="InternetLink"/>
                  <w:rFonts w:ascii="Times New Roman" w:hAnsi="Times New Roman"/>
                  <w:color w:val="0000FF"/>
                  <w:sz w:val="24"/>
                  <w:u w:val="single"/>
                </w:rPr>
                <w:t>Critical Accounting Estimates</w:t>
              </w:r>
            </w:hyperlink>
          </w:p>
        </w:tc>
        <w:tc>
          <w:tcPr>
            <w:tcW w:w="442" w:type="dxa"/>
            <w:tcBorders/>
            <w:tcMar>
              <w:top w:w="0" w:type="dxa"/>
              <w:left w:w="0" w:type="dxa"/>
              <w:bottom w:w="0" w:type="dxa"/>
              <w:right w:w="0" w:type="dxa"/>
            </w:tcMar>
            <w:vAlign w:val="center"/>
          </w:tcPr>
          <w:p>
            <w:pPr>
              <w:pStyle w:val="TableContents"/>
              <w:bidi w:val="0"/>
              <w:spacing w:before="8" w:after="283"/>
              <w:jc w:val="right"/>
              <w:rPr>
                <w:rFonts w:ascii="Times New Roman" w:hAnsi="Times New Roman"/>
                <w:color w:val="000000"/>
                <w:sz w:val="24"/>
              </w:rPr>
            </w:pPr>
            <w:r>
              <w:rPr>
                <w:rFonts w:ascii="Times New Roman" w:hAnsi="Times New Roman"/>
                <w:color w:val="000000"/>
                <w:sz w:val="24"/>
              </w:rPr>
              <w:t>16</w:t>
            </w:r>
          </w:p>
        </w:tc>
      </w:tr>
      <w:tr>
        <w:trPr/>
        <w:tc>
          <w:tcPr>
            <w:tcW w:w="1074" w:type="dxa"/>
            <w:tcBorders/>
            <w:tcMar>
              <w:top w:w="0" w:type="dxa"/>
              <w:left w:w="0" w:type="dxa"/>
              <w:bottom w:w="0" w:type="dxa"/>
              <w:right w:w="0" w:type="dxa"/>
            </w:tcMar>
            <w:vAlign w:val="center"/>
          </w:tcPr>
          <w:p>
            <w:pPr>
              <w:pStyle w:val="TableContents"/>
              <w:bidi w:val="0"/>
              <w:spacing w:before="0" w:after="283"/>
              <w:ind w:left="0" w:right="0" w:firstLine="221"/>
              <w:jc w:val="left"/>
              <w:rPr/>
            </w:pPr>
            <w:r>
              <w:rPr/>
              <w:t> </w:t>
            </w:r>
          </w:p>
        </w:tc>
        <w:tc>
          <w:tcPr>
            <w:tcW w:w="8689" w:type="dxa"/>
            <w:tcBorders/>
            <w:tcMar>
              <w:top w:w="0" w:type="dxa"/>
              <w:left w:w="0" w:type="dxa"/>
              <w:bottom w:w="0" w:type="dxa"/>
              <w:right w:w="0" w:type="dxa"/>
            </w:tcMar>
            <w:vAlign w:val="center"/>
          </w:tcPr>
          <w:p>
            <w:pPr>
              <w:pStyle w:val="TableContents"/>
              <w:bidi w:val="0"/>
              <w:spacing w:before="8" w:after="283"/>
              <w:ind w:left="0" w:right="0" w:firstLine="221"/>
              <w:jc w:val="left"/>
              <w:rPr/>
            </w:pPr>
            <w:hyperlink w:anchor="results_of_operations">
              <w:r>
                <w:rPr>
                  <w:rStyle w:val="InternetLink"/>
                  <w:rFonts w:ascii="Times New Roman" w:hAnsi="Times New Roman"/>
                  <w:color w:val="0000FF"/>
                  <w:sz w:val="24"/>
                  <w:u w:val="single"/>
                </w:rPr>
                <w:t>Results of Operations</w:t>
              </w:r>
            </w:hyperlink>
          </w:p>
        </w:tc>
        <w:tc>
          <w:tcPr>
            <w:tcW w:w="442" w:type="dxa"/>
            <w:tcBorders/>
            <w:tcMar>
              <w:top w:w="0" w:type="dxa"/>
              <w:left w:w="0" w:type="dxa"/>
              <w:bottom w:w="0" w:type="dxa"/>
              <w:right w:w="0" w:type="dxa"/>
            </w:tcMar>
            <w:vAlign w:val="center"/>
          </w:tcPr>
          <w:p>
            <w:pPr>
              <w:pStyle w:val="TableContents"/>
              <w:bidi w:val="0"/>
              <w:spacing w:before="8" w:after="283"/>
              <w:jc w:val="right"/>
              <w:rPr>
                <w:rFonts w:ascii="Times New Roman" w:hAnsi="Times New Roman"/>
                <w:color w:val="000000"/>
                <w:sz w:val="24"/>
              </w:rPr>
            </w:pPr>
            <w:r>
              <w:rPr>
                <w:rFonts w:ascii="Times New Roman" w:hAnsi="Times New Roman"/>
                <w:color w:val="000000"/>
                <w:sz w:val="24"/>
              </w:rPr>
              <w:t>16</w:t>
            </w:r>
          </w:p>
        </w:tc>
      </w:tr>
      <w:tr>
        <w:trPr/>
        <w:tc>
          <w:tcPr>
            <w:tcW w:w="1074" w:type="dxa"/>
            <w:tcBorders/>
            <w:tcMar>
              <w:top w:w="0" w:type="dxa"/>
              <w:left w:w="0" w:type="dxa"/>
              <w:bottom w:w="0" w:type="dxa"/>
              <w:right w:w="0" w:type="dxa"/>
            </w:tcMar>
            <w:vAlign w:val="center"/>
          </w:tcPr>
          <w:p>
            <w:pPr>
              <w:pStyle w:val="TableContents"/>
              <w:bidi w:val="0"/>
              <w:spacing w:before="0" w:after="283"/>
              <w:ind w:left="0" w:right="0" w:firstLine="221"/>
              <w:jc w:val="left"/>
              <w:rPr/>
            </w:pPr>
            <w:r>
              <w:rPr/>
              <w:t> </w:t>
            </w:r>
          </w:p>
        </w:tc>
        <w:tc>
          <w:tcPr>
            <w:tcW w:w="8689" w:type="dxa"/>
            <w:tcBorders/>
            <w:tcMar>
              <w:top w:w="0" w:type="dxa"/>
              <w:left w:w="0" w:type="dxa"/>
              <w:bottom w:w="0" w:type="dxa"/>
              <w:right w:w="0" w:type="dxa"/>
            </w:tcMar>
            <w:vAlign w:val="center"/>
          </w:tcPr>
          <w:p>
            <w:pPr>
              <w:pStyle w:val="TableContents"/>
              <w:bidi w:val="0"/>
              <w:spacing w:before="8" w:after="283"/>
              <w:ind w:left="0" w:right="0" w:firstLine="221"/>
              <w:jc w:val="left"/>
              <w:rPr/>
            </w:pPr>
            <w:hyperlink w:anchor="liquidity_and_financial_condition">
              <w:r>
                <w:rPr>
                  <w:rStyle w:val="InternetLink"/>
                  <w:rFonts w:ascii="Times New Roman" w:hAnsi="Times New Roman"/>
                  <w:color w:val="0000FF"/>
                  <w:sz w:val="24"/>
                  <w:u w:val="single"/>
                </w:rPr>
                <w:t>Liquidity and Financial Condition</w:t>
              </w:r>
            </w:hyperlink>
          </w:p>
        </w:tc>
        <w:tc>
          <w:tcPr>
            <w:tcW w:w="442" w:type="dxa"/>
            <w:tcBorders/>
            <w:tcMar>
              <w:top w:w="0" w:type="dxa"/>
              <w:left w:w="0" w:type="dxa"/>
              <w:bottom w:w="0" w:type="dxa"/>
              <w:right w:w="0" w:type="dxa"/>
            </w:tcMar>
            <w:vAlign w:val="center"/>
          </w:tcPr>
          <w:p>
            <w:pPr>
              <w:pStyle w:val="TableContents"/>
              <w:bidi w:val="0"/>
              <w:spacing w:before="8" w:after="283"/>
              <w:ind w:left="0" w:right="0" w:firstLine="50"/>
              <w:jc w:val="right"/>
              <w:rPr>
                <w:rFonts w:ascii="Times New Roman" w:hAnsi="Times New Roman"/>
                <w:color w:val="000000"/>
                <w:sz w:val="24"/>
              </w:rPr>
            </w:pPr>
            <w:r>
              <w:rPr>
                <w:rFonts w:ascii="Times New Roman" w:hAnsi="Times New Roman"/>
                <w:color w:val="000000"/>
                <w:sz w:val="24"/>
              </w:rPr>
              <w:t>23</w:t>
            </w:r>
          </w:p>
        </w:tc>
      </w:tr>
      <w:tr>
        <w:trPr/>
        <w:tc>
          <w:tcPr>
            <w:tcW w:w="1074" w:type="dxa"/>
            <w:tcBorders/>
            <w:tcMar>
              <w:top w:w="0" w:type="dxa"/>
              <w:left w:w="0" w:type="dxa"/>
              <w:bottom w:w="0" w:type="dxa"/>
              <w:right w:w="0" w:type="dxa"/>
            </w:tcMar>
            <w:vAlign w:val="center"/>
          </w:tcPr>
          <w:p>
            <w:pPr>
              <w:pStyle w:val="TableContents"/>
              <w:bidi w:val="0"/>
              <w:spacing w:before="12" w:after="283"/>
              <w:ind w:left="0" w:right="0" w:firstLine="190"/>
              <w:jc w:val="left"/>
              <w:rPr>
                <w:rFonts w:ascii="Times New Roman" w:hAnsi="Times New Roman"/>
                <w:color w:val="000000"/>
                <w:sz w:val="24"/>
              </w:rPr>
            </w:pPr>
            <w:r>
              <w:rPr>
                <w:rFonts w:ascii="Times New Roman" w:hAnsi="Times New Roman"/>
                <w:color w:val="000000"/>
                <w:sz w:val="24"/>
              </w:rPr>
              <w:t>Item 3</w:t>
            </w:r>
          </w:p>
        </w:tc>
        <w:tc>
          <w:tcPr>
            <w:tcW w:w="8689" w:type="dxa"/>
            <w:tcBorders/>
            <w:tcMar>
              <w:top w:w="0" w:type="dxa"/>
              <w:left w:w="0" w:type="dxa"/>
              <w:bottom w:w="0" w:type="dxa"/>
              <w:right w:w="0" w:type="dxa"/>
            </w:tcMar>
            <w:vAlign w:val="center"/>
          </w:tcPr>
          <w:p>
            <w:pPr>
              <w:pStyle w:val="TableContents"/>
              <w:bidi w:val="0"/>
              <w:spacing w:before="12" w:after="283"/>
              <w:ind w:left="0" w:right="0" w:firstLine="190"/>
              <w:jc w:val="left"/>
              <w:rPr/>
            </w:pPr>
            <w:hyperlink w:anchor="quantitative_and_qualitative_disclosures">
              <w:r>
                <w:rPr>
                  <w:rStyle w:val="InternetLink"/>
                  <w:rFonts w:ascii="Times New Roman" w:hAnsi="Times New Roman"/>
                  <w:color w:val="0000FF"/>
                  <w:sz w:val="24"/>
                  <w:u w:val="single"/>
                </w:rPr>
                <w:t>Quantitative and Qualitative Disclosures about Market Risk</w:t>
              </w:r>
            </w:hyperlink>
          </w:p>
        </w:tc>
        <w:tc>
          <w:tcPr>
            <w:tcW w:w="442" w:type="dxa"/>
            <w:tcBorders/>
            <w:tcMar>
              <w:top w:w="0" w:type="dxa"/>
              <w:left w:w="0" w:type="dxa"/>
              <w:bottom w:w="0" w:type="dxa"/>
              <w:right w:w="0" w:type="dxa"/>
            </w:tcMar>
            <w:vAlign w:val="center"/>
          </w:tcPr>
          <w:p>
            <w:pPr>
              <w:pStyle w:val="TableContents"/>
              <w:bidi w:val="0"/>
              <w:spacing w:before="8" w:after="283"/>
              <w:ind w:left="0" w:right="0" w:firstLine="50"/>
              <w:jc w:val="right"/>
              <w:rPr>
                <w:rFonts w:ascii="Times New Roman" w:hAnsi="Times New Roman"/>
                <w:color w:val="000000"/>
                <w:sz w:val="24"/>
              </w:rPr>
            </w:pPr>
            <w:r>
              <w:rPr>
                <w:rFonts w:ascii="Times New Roman" w:hAnsi="Times New Roman"/>
                <w:color w:val="000000"/>
                <w:sz w:val="24"/>
              </w:rPr>
              <w:t>25</w:t>
            </w:r>
          </w:p>
        </w:tc>
      </w:tr>
      <w:tr>
        <w:trPr/>
        <w:tc>
          <w:tcPr>
            <w:tcW w:w="1074" w:type="dxa"/>
            <w:tcBorders/>
            <w:tcMar>
              <w:top w:w="0" w:type="dxa"/>
              <w:left w:w="0" w:type="dxa"/>
              <w:bottom w:w="0" w:type="dxa"/>
              <w:right w:w="0" w:type="dxa"/>
            </w:tcMar>
            <w:vAlign w:val="center"/>
          </w:tcPr>
          <w:p>
            <w:pPr>
              <w:pStyle w:val="TableContents"/>
              <w:bidi w:val="0"/>
              <w:spacing w:before="0" w:after="283"/>
              <w:ind w:left="0" w:right="0" w:firstLine="190"/>
              <w:jc w:val="left"/>
              <w:rPr>
                <w:rFonts w:ascii="Times New Roman" w:hAnsi="Times New Roman"/>
                <w:color w:val="000000"/>
                <w:sz w:val="24"/>
              </w:rPr>
            </w:pPr>
            <w:r>
              <w:rPr>
                <w:rFonts w:ascii="Times New Roman" w:hAnsi="Times New Roman"/>
                <w:color w:val="000000"/>
                <w:sz w:val="24"/>
              </w:rPr>
              <w:t>Item 4</w:t>
            </w:r>
          </w:p>
        </w:tc>
        <w:tc>
          <w:tcPr>
            <w:tcW w:w="8689" w:type="dxa"/>
            <w:tcBorders/>
            <w:tcMar>
              <w:top w:w="0" w:type="dxa"/>
              <w:left w:w="0" w:type="dxa"/>
              <w:bottom w:w="0" w:type="dxa"/>
              <w:right w:w="0" w:type="dxa"/>
            </w:tcMar>
            <w:vAlign w:val="center"/>
          </w:tcPr>
          <w:p>
            <w:pPr>
              <w:pStyle w:val="TableContents"/>
              <w:bidi w:val="0"/>
              <w:spacing w:before="0" w:after="283"/>
              <w:ind w:left="0" w:right="0" w:firstLine="190"/>
              <w:jc w:val="left"/>
              <w:rPr/>
            </w:pPr>
            <w:hyperlink w:anchor="controls_and_procedures">
              <w:r>
                <w:rPr>
                  <w:rStyle w:val="InternetLink"/>
                  <w:rFonts w:ascii="Times New Roman" w:hAnsi="Times New Roman"/>
                  <w:color w:val="0000FF"/>
                  <w:sz w:val="24"/>
                  <w:u w:val="single"/>
                </w:rPr>
                <w:t>Controls and Procedures</w:t>
              </w:r>
            </w:hyperlink>
          </w:p>
        </w:tc>
        <w:tc>
          <w:tcPr>
            <w:tcW w:w="442" w:type="dxa"/>
            <w:tcBorders/>
            <w:tcMar>
              <w:top w:w="0" w:type="dxa"/>
              <w:left w:w="0" w:type="dxa"/>
              <w:bottom w:w="0" w:type="dxa"/>
              <w:right w:w="0" w:type="dxa"/>
            </w:tcMar>
            <w:vAlign w:val="center"/>
          </w:tcPr>
          <w:p>
            <w:pPr>
              <w:pStyle w:val="TableContents"/>
              <w:bidi w:val="0"/>
              <w:spacing w:before="8" w:after="283"/>
              <w:ind w:left="0" w:right="0" w:firstLine="50"/>
              <w:jc w:val="right"/>
              <w:rPr>
                <w:rFonts w:ascii="Times New Roman" w:hAnsi="Times New Roman"/>
                <w:color w:val="000000"/>
                <w:sz w:val="24"/>
              </w:rPr>
            </w:pPr>
            <w:r>
              <w:rPr>
                <w:rFonts w:ascii="Times New Roman" w:hAnsi="Times New Roman"/>
                <w:color w:val="000000"/>
                <w:sz w:val="24"/>
              </w:rPr>
              <w:t>25</w:t>
            </w:r>
          </w:p>
        </w:tc>
      </w:tr>
      <w:tr>
        <w:trPr/>
        <w:tc>
          <w:tcPr>
            <w:tcW w:w="1074" w:type="dxa"/>
            <w:tcBorders/>
            <w:tcMar>
              <w:top w:w="0" w:type="dxa"/>
              <w:left w:w="0" w:type="dxa"/>
              <w:bottom w:w="0" w:type="dxa"/>
              <w:right w:w="0" w:type="dxa"/>
            </w:tcMar>
            <w:vAlign w:val="center"/>
          </w:tcPr>
          <w:p>
            <w:pPr>
              <w:pStyle w:val="TableContents"/>
              <w:bidi w:val="0"/>
              <w:spacing w:before="53" w:after="283"/>
              <w:ind w:left="0" w:right="0" w:firstLine="190"/>
              <w:jc w:val="left"/>
              <w:rPr>
                <w:rFonts w:ascii="Times New Roman" w:hAnsi="Times New Roman"/>
                <w:color w:val="000000"/>
                <w:sz w:val="24"/>
              </w:rPr>
            </w:pPr>
            <w:r>
              <w:rPr>
                <w:rFonts w:ascii="Times New Roman" w:hAnsi="Times New Roman"/>
                <w:color w:val="000000"/>
                <w:sz w:val="24"/>
              </w:rPr>
              <w:t>PART II</w:t>
            </w:r>
          </w:p>
        </w:tc>
        <w:tc>
          <w:tcPr>
            <w:tcW w:w="8689" w:type="dxa"/>
            <w:tcBorders/>
            <w:tcMar>
              <w:top w:w="0" w:type="dxa"/>
              <w:left w:w="0" w:type="dxa"/>
              <w:bottom w:w="0" w:type="dxa"/>
              <w:right w:w="0" w:type="dxa"/>
            </w:tcMar>
            <w:vAlign w:val="center"/>
          </w:tcPr>
          <w:p>
            <w:pPr>
              <w:pStyle w:val="TableContents"/>
              <w:bidi w:val="0"/>
              <w:spacing w:before="53" w:after="283"/>
              <w:ind w:left="0" w:right="0" w:firstLine="190"/>
              <w:jc w:val="left"/>
              <w:rPr/>
            </w:pPr>
            <w:hyperlink w:anchor="part_ii_other_information">
              <w:r>
                <w:rPr>
                  <w:rStyle w:val="InternetLink"/>
                  <w:rFonts w:ascii="Times New Roman" w:hAnsi="Times New Roman"/>
                  <w:color w:val="0000FF"/>
                  <w:sz w:val="24"/>
                  <w:u w:val="single"/>
                </w:rPr>
                <w:t>OTHER INFORMATION</w:t>
              </w:r>
            </w:hyperlink>
          </w:p>
        </w:tc>
        <w:tc>
          <w:tcPr>
            <w:tcW w:w="442" w:type="dxa"/>
            <w:tcBorders/>
            <w:tcMar>
              <w:top w:w="0" w:type="dxa"/>
              <w:left w:w="0" w:type="dxa"/>
              <w:bottom w:w="0" w:type="dxa"/>
              <w:right w:w="0" w:type="dxa"/>
            </w:tcMar>
            <w:vAlign w:val="center"/>
          </w:tcPr>
          <w:p>
            <w:pPr>
              <w:pStyle w:val="TableContents"/>
              <w:bidi w:val="0"/>
              <w:spacing w:before="8" w:after="283"/>
              <w:ind w:left="0" w:right="0" w:firstLine="50"/>
              <w:jc w:val="right"/>
              <w:rPr>
                <w:rFonts w:ascii="Times New Roman" w:hAnsi="Times New Roman"/>
                <w:color w:val="000000"/>
                <w:sz w:val="24"/>
              </w:rPr>
            </w:pPr>
            <w:r>
              <w:rPr>
                <w:rFonts w:ascii="Times New Roman" w:hAnsi="Times New Roman"/>
                <w:color w:val="000000"/>
                <w:sz w:val="24"/>
              </w:rPr>
              <w:t>27</w:t>
            </w:r>
          </w:p>
        </w:tc>
      </w:tr>
      <w:tr>
        <w:trPr/>
        <w:tc>
          <w:tcPr>
            <w:tcW w:w="1074" w:type="dxa"/>
            <w:tcBorders/>
            <w:tcMar>
              <w:top w:w="0" w:type="dxa"/>
              <w:left w:w="0" w:type="dxa"/>
              <w:bottom w:w="0" w:type="dxa"/>
              <w:right w:w="0" w:type="dxa"/>
            </w:tcMar>
            <w:vAlign w:val="center"/>
          </w:tcPr>
          <w:p>
            <w:pPr>
              <w:pStyle w:val="TableContents"/>
              <w:bidi w:val="0"/>
              <w:spacing w:before="53" w:after="283"/>
              <w:ind w:left="0" w:right="0" w:firstLine="190"/>
              <w:jc w:val="left"/>
              <w:rPr>
                <w:rFonts w:ascii="Times New Roman" w:hAnsi="Times New Roman"/>
                <w:color w:val="000000"/>
                <w:sz w:val="24"/>
              </w:rPr>
            </w:pPr>
            <w:r>
              <w:rPr>
                <w:rFonts w:ascii="Times New Roman" w:hAnsi="Times New Roman"/>
                <w:color w:val="000000"/>
                <w:sz w:val="24"/>
              </w:rPr>
              <w:t>Item 1</w:t>
            </w:r>
          </w:p>
        </w:tc>
        <w:tc>
          <w:tcPr>
            <w:tcW w:w="8689" w:type="dxa"/>
            <w:tcBorders/>
            <w:tcMar>
              <w:top w:w="0" w:type="dxa"/>
              <w:left w:w="0" w:type="dxa"/>
              <w:bottom w:w="0" w:type="dxa"/>
              <w:right w:w="0" w:type="dxa"/>
            </w:tcMar>
            <w:vAlign w:val="center"/>
          </w:tcPr>
          <w:p>
            <w:pPr>
              <w:pStyle w:val="TableContents"/>
              <w:bidi w:val="0"/>
              <w:spacing w:before="53" w:after="283"/>
              <w:ind w:left="0" w:right="0" w:firstLine="190"/>
              <w:jc w:val="left"/>
              <w:rPr/>
            </w:pPr>
            <w:hyperlink w:anchor="legal_proceedings">
              <w:r>
                <w:rPr>
                  <w:rStyle w:val="InternetLink"/>
                  <w:rFonts w:ascii="Times New Roman" w:hAnsi="Times New Roman"/>
                  <w:color w:val="0000FF"/>
                  <w:sz w:val="24"/>
                  <w:u w:val="single"/>
                </w:rPr>
                <w:t>Legal Proceedings</w:t>
              </w:r>
            </w:hyperlink>
          </w:p>
        </w:tc>
        <w:tc>
          <w:tcPr>
            <w:tcW w:w="442" w:type="dxa"/>
            <w:tcBorders/>
            <w:tcMar>
              <w:top w:w="0" w:type="dxa"/>
              <w:left w:w="0" w:type="dxa"/>
              <w:bottom w:w="0" w:type="dxa"/>
              <w:right w:w="0" w:type="dxa"/>
            </w:tcMar>
            <w:vAlign w:val="center"/>
          </w:tcPr>
          <w:p>
            <w:pPr>
              <w:pStyle w:val="TableContents"/>
              <w:bidi w:val="0"/>
              <w:spacing w:before="8" w:after="283"/>
              <w:ind w:left="0" w:right="0" w:firstLine="50"/>
              <w:jc w:val="right"/>
              <w:rPr>
                <w:rFonts w:ascii="Times New Roman" w:hAnsi="Times New Roman"/>
                <w:color w:val="000000"/>
                <w:sz w:val="24"/>
              </w:rPr>
            </w:pPr>
            <w:r>
              <w:rPr>
                <w:rFonts w:ascii="Times New Roman" w:hAnsi="Times New Roman"/>
                <w:color w:val="000000"/>
                <w:sz w:val="24"/>
              </w:rPr>
              <w:t>27</w:t>
            </w:r>
          </w:p>
        </w:tc>
      </w:tr>
      <w:tr>
        <w:trPr/>
        <w:tc>
          <w:tcPr>
            <w:tcW w:w="1074" w:type="dxa"/>
            <w:tcBorders/>
            <w:tcMar>
              <w:top w:w="0" w:type="dxa"/>
              <w:left w:w="0" w:type="dxa"/>
              <w:bottom w:w="0" w:type="dxa"/>
              <w:right w:w="0" w:type="dxa"/>
            </w:tcMar>
            <w:vAlign w:val="center"/>
          </w:tcPr>
          <w:p>
            <w:pPr>
              <w:pStyle w:val="TableContents"/>
              <w:bidi w:val="0"/>
              <w:spacing w:before="0" w:after="283"/>
              <w:ind w:left="0" w:right="0" w:firstLine="190"/>
              <w:jc w:val="left"/>
              <w:rPr>
                <w:rFonts w:ascii="Times New Roman" w:hAnsi="Times New Roman"/>
                <w:color w:val="000000"/>
                <w:sz w:val="24"/>
              </w:rPr>
            </w:pPr>
            <w:r>
              <w:rPr>
                <w:rFonts w:ascii="Times New Roman" w:hAnsi="Times New Roman"/>
                <w:color w:val="000000"/>
                <w:sz w:val="24"/>
              </w:rPr>
              <w:t>Item 1A</w:t>
            </w:r>
          </w:p>
        </w:tc>
        <w:tc>
          <w:tcPr>
            <w:tcW w:w="8689" w:type="dxa"/>
            <w:tcBorders/>
            <w:tcMar>
              <w:top w:w="0" w:type="dxa"/>
              <w:left w:w="0" w:type="dxa"/>
              <w:bottom w:w="0" w:type="dxa"/>
              <w:right w:w="0" w:type="dxa"/>
            </w:tcMar>
            <w:vAlign w:val="center"/>
          </w:tcPr>
          <w:p>
            <w:pPr>
              <w:pStyle w:val="TableContents"/>
              <w:bidi w:val="0"/>
              <w:spacing w:before="0" w:after="283"/>
              <w:ind w:left="0" w:right="0" w:firstLine="190"/>
              <w:jc w:val="left"/>
              <w:rPr/>
            </w:pPr>
            <w:hyperlink w:anchor="risk_factors">
              <w:r>
                <w:rPr>
                  <w:rStyle w:val="InternetLink"/>
                  <w:rFonts w:ascii="Times New Roman" w:hAnsi="Times New Roman"/>
                  <w:color w:val="0000FF"/>
                  <w:sz w:val="24"/>
                  <w:u w:val="single"/>
                </w:rPr>
                <w:t>Risk Factors</w:t>
              </w:r>
            </w:hyperlink>
          </w:p>
        </w:tc>
        <w:tc>
          <w:tcPr>
            <w:tcW w:w="442" w:type="dxa"/>
            <w:tcBorders/>
            <w:tcMar>
              <w:top w:w="0" w:type="dxa"/>
              <w:left w:w="0" w:type="dxa"/>
              <w:bottom w:w="0" w:type="dxa"/>
              <w:right w:w="0" w:type="dxa"/>
            </w:tcMar>
            <w:vAlign w:val="center"/>
          </w:tcPr>
          <w:p>
            <w:pPr>
              <w:pStyle w:val="TableContents"/>
              <w:bidi w:val="0"/>
              <w:spacing w:before="8" w:after="283"/>
              <w:ind w:left="0" w:right="0" w:firstLine="50"/>
              <w:jc w:val="right"/>
              <w:rPr>
                <w:rFonts w:ascii="Times New Roman" w:hAnsi="Times New Roman"/>
                <w:color w:val="000000"/>
                <w:sz w:val="24"/>
              </w:rPr>
            </w:pPr>
            <w:r>
              <w:rPr>
                <w:rFonts w:ascii="Times New Roman" w:hAnsi="Times New Roman"/>
                <w:color w:val="000000"/>
                <w:sz w:val="24"/>
              </w:rPr>
              <w:t>27</w:t>
            </w:r>
          </w:p>
        </w:tc>
      </w:tr>
      <w:tr>
        <w:trPr/>
        <w:tc>
          <w:tcPr>
            <w:tcW w:w="1074" w:type="dxa"/>
            <w:tcBorders/>
            <w:tcMar>
              <w:top w:w="0" w:type="dxa"/>
              <w:left w:w="0" w:type="dxa"/>
              <w:bottom w:w="0" w:type="dxa"/>
              <w:right w:w="0" w:type="dxa"/>
            </w:tcMar>
            <w:vAlign w:val="center"/>
          </w:tcPr>
          <w:p>
            <w:pPr>
              <w:pStyle w:val="TableContents"/>
              <w:bidi w:val="0"/>
              <w:spacing w:before="0" w:after="283"/>
              <w:ind w:left="0" w:right="0" w:firstLine="190"/>
              <w:jc w:val="left"/>
              <w:rPr>
                <w:rFonts w:ascii="Times New Roman" w:hAnsi="Times New Roman"/>
                <w:color w:val="000000"/>
                <w:sz w:val="24"/>
              </w:rPr>
            </w:pPr>
            <w:r>
              <w:rPr>
                <w:rFonts w:ascii="Times New Roman" w:hAnsi="Times New Roman"/>
                <w:color w:val="000000"/>
                <w:sz w:val="24"/>
              </w:rPr>
              <w:t>Item 2</w:t>
            </w:r>
          </w:p>
        </w:tc>
        <w:tc>
          <w:tcPr>
            <w:tcW w:w="8689" w:type="dxa"/>
            <w:tcBorders/>
            <w:tcMar>
              <w:top w:w="0" w:type="dxa"/>
              <w:left w:w="0" w:type="dxa"/>
              <w:bottom w:w="0" w:type="dxa"/>
              <w:right w:w="0" w:type="dxa"/>
            </w:tcMar>
            <w:vAlign w:val="center"/>
          </w:tcPr>
          <w:p>
            <w:pPr>
              <w:pStyle w:val="TableContents"/>
              <w:bidi w:val="0"/>
              <w:spacing w:before="0" w:after="283"/>
              <w:ind w:left="0" w:right="0" w:firstLine="190"/>
              <w:jc w:val="left"/>
              <w:rPr/>
            </w:pPr>
            <w:hyperlink w:anchor="unregistered_sales_of_equity_securities">
              <w:r>
                <w:rPr>
                  <w:rStyle w:val="InternetLink"/>
                  <w:rFonts w:ascii="Times New Roman" w:hAnsi="Times New Roman"/>
                  <w:color w:val="0000FF"/>
                  <w:sz w:val="24"/>
                  <w:u w:val="single"/>
                </w:rPr>
                <w:t>Unregistered Sales of Equity Securities and Use of Proceeds</w:t>
              </w:r>
            </w:hyperlink>
          </w:p>
        </w:tc>
        <w:tc>
          <w:tcPr>
            <w:tcW w:w="442" w:type="dxa"/>
            <w:tcBorders/>
            <w:tcMar>
              <w:top w:w="0" w:type="dxa"/>
              <w:left w:w="0" w:type="dxa"/>
              <w:bottom w:w="0" w:type="dxa"/>
              <w:right w:w="0" w:type="dxa"/>
            </w:tcMar>
            <w:vAlign w:val="center"/>
          </w:tcPr>
          <w:p>
            <w:pPr>
              <w:pStyle w:val="TableContents"/>
              <w:bidi w:val="0"/>
              <w:spacing w:before="8" w:after="283"/>
              <w:ind w:left="0" w:right="0" w:firstLine="50"/>
              <w:jc w:val="right"/>
              <w:rPr>
                <w:rFonts w:ascii="Times New Roman" w:hAnsi="Times New Roman"/>
                <w:color w:val="000000"/>
                <w:sz w:val="24"/>
              </w:rPr>
            </w:pPr>
            <w:r>
              <w:rPr>
                <w:rFonts w:ascii="Times New Roman" w:hAnsi="Times New Roman"/>
                <w:color w:val="000000"/>
                <w:sz w:val="24"/>
              </w:rPr>
              <w:t>27</w:t>
            </w:r>
          </w:p>
        </w:tc>
      </w:tr>
      <w:tr>
        <w:trPr/>
        <w:tc>
          <w:tcPr>
            <w:tcW w:w="1074" w:type="dxa"/>
            <w:tcBorders/>
            <w:tcMar>
              <w:top w:w="0" w:type="dxa"/>
              <w:left w:w="0" w:type="dxa"/>
              <w:bottom w:w="0" w:type="dxa"/>
              <w:right w:w="0" w:type="dxa"/>
            </w:tcMar>
            <w:vAlign w:val="center"/>
          </w:tcPr>
          <w:p>
            <w:pPr>
              <w:pStyle w:val="TableContents"/>
              <w:bidi w:val="0"/>
              <w:spacing w:before="0" w:after="283"/>
              <w:ind w:left="0" w:right="0" w:firstLine="190"/>
              <w:jc w:val="left"/>
              <w:rPr>
                <w:rFonts w:ascii="Times New Roman" w:hAnsi="Times New Roman"/>
                <w:color w:val="000000"/>
                <w:sz w:val="24"/>
              </w:rPr>
            </w:pPr>
            <w:r>
              <w:rPr>
                <w:rFonts w:ascii="Times New Roman" w:hAnsi="Times New Roman"/>
                <w:color w:val="000000"/>
                <w:sz w:val="24"/>
              </w:rPr>
              <w:t>Item 3</w:t>
            </w:r>
          </w:p>
        </w:tc>
        <w:tc>
          <w:tcPr>
            <w:tcW w:w="8689" w:type="dxa"/>
            <w:tcBorders/>
            <w:tcMar>
              <w:top w:w="0" w:type="dxa"/>
              <w:left w:w="0" w:type="dxa"/>
              <w:bottom w:w="0" w:type="dxa"/>
              <w:right w:w="0" w:type="dxa"/>
            </w:tcMar>
            <w:vAlign w:val="center"/>
          </w:tcPr>
          <w:p>
            <w:pPr>
              <w:pStyle w:val="TableContents"/>
              <w:bidi w:val="0"/>
              <w:spacing w:before="0" w:after="283"/>
              <w:ind w:left="0" w:right="0" w:firstLine="190"/>
              <w:jc w:val="left"/>
              <w:rPr/>
            </w:pPr>
            <w:hyperlink w:anchor="defaults_upon_senior_securities">
              <w:r>
                <w:rPr>
                  <w:rStyle w:val="InternetLink"/>
                  <w:rFonts w:ascii="Times New Roman" w:hAnsi="Times New Roman"/>
                  <w:color w:val="0000FF"/>
                  <w:sz w:val="24"/>
                  <w:u w:val="single"/>
                </w:rPr>
                <w:t>Defaults Upon Senior Securities</w:t>
              </w:r>
            </w:hyperlink>
          </w:p>
        </w:tc>
        <w:tc>
          <w:tcPr>
            <w:tcW w:w="442" w:type="dxa"/>
            <w:tcBorders/>
            <w:tcMar>
              <w:top w:w="0" w:type="dxa"/>
              <w:left w:w="0" w:type="dxa"/>
              <w:bottom w:w="0" w:type="dxa"/>
              <w:right w:w="0" w:type="dxa"/>
            </w:tcMar>
            <w:vAlign w:val="center"/>
          </w:tcPr>
          <w:p>
            <w:pPr>
              <w:pStyle w:val="TableContents"/>
              <w:bidi w:val="0"/>
              <w:spacing w:before="8" w:after="283"/>
              <w:ind w:left="0" w:right="0" w:firstLine="50"/>
              <w:jc w:val="right"/>
              <w:rPr>
                <w:rFonts w:ascii="Times New Roman" w:hAnsi="Times New Roman"/>
                <w:color w:val="000000"/>
                <w:sz w:val="24"/>
              </w:rPr>
            </w:pPr>
            <w:r>
              <w:rPr>
                <w:rFonts w:ascii="Times New Roman" w:hAnsi="Times New Roman"/>
                <w:color w:val="000000"/>
                <w:sz w:val="24"/>
              </w:rPr>
              <w:t>28</w:t>
            </w:r>
          </w:p>
        </w:tc>
      </w:tr>
      <w:tr>
        <w:trPr/>
        <w:tc>
          <w:tcPr>
            <w:tcW w:w="1074" w:type="dxa"/>
            <w:tcBorders/>
            <w:tcMar>
              <w:top w:w="0" w:type="dxa"/>
              <w:left w:w="0" w:type="dxa"/>
              <w:bottom w:w="0" w:type="dxa"/>
              <w:right w:w="0" w:type="dxa"/>
            </w:tcMar>
            <w:vAlign w:val="center"/>
          </w:tcPr>
          <w:p>
            <w:pPr>
              <w:pStyle w:val="TableContents"/>
              <w:bidi w:val="0"/>
              <w:spacing w:before="0" w:after="283"/>
              <w:ind w:left="0" w:right="0" w:firstLine="190"/>
              <w:jc w:val="left"/>
              <w:rPr>
                <w:rFonts w:ascii="Times New Roman" w:hAnsi="Times New Roman"/>
                <w:color w:val="000000"/>
                <w:sz w:val="24"/>
              </w:rPr>
            </w:pPr>
            <w:r>
              <w:rPr>
                <w:rFonts w:ascii="Times New Roman" w:hAnsi="Times New Roman"/>
                <w:color w:val="000000"/>
                <w:sz w:val="24"/>
              </w:rPr>
              <w:t>Item 4</w:t>
            </w:r>
          </w:p>
        </w:tc>
        <w:tc>
          <w:tcPr>
            <w:tcW w:w="8689" w:type="dxa"/>
            <w:tcBorders/>
            <w:tcMar>
              <w:top w:w="0" w:type="dxa"/>
              <w:left w:w="0" w:type="dxa"/>
              <w:bottom w:w="0" w:type="dxa"/>
              <w:right w:w="0" w:type="dxa"/>
            </w:tcMar>
            <w:vAlign w:val="center"/>
          </w:tcPr>
          <w:p>
            <w:pPr>
              <w:pStyle w:val="TableContents"/>
              <w:bidi w:val="0"/>
              <w:spacing w:before="0" w:after="283"/>
              <w:ind w:left="0" w:right="0" w:firstLine="190"/>
              <w:jc w:val="left"/>
              <w:rPr/>
            </w:pPr>
            <w:hyperlink w:anchor="mine_safety_disclosures">
              <w:r>
                <w:rPr>
                  <w:rStyle w:val="InternetLink"/>
                  <w:rFonts w:ascii="Times New Roman" w:hAnsi="Times New Roman"/>
                  <w:color w:val="0000FF"/>
                  <w:sz w:val="24"/>
                  <w:u w:val="single"/>
                </w:rPr>
                <w:t>Mine Safety Disclosures</w:t>
              </w:r>
            </w:hyperlink>
          </w:p>
        </w:tc>
        <w:tc>
          <w:tcPr>
            <w:tcW w:w="442" w:type="dxa"/>
            <w:tcBorders/>
            <w:tcMar>
              <w:top w:w="0" w:type="dxa"/>
              <w:left w:w="0" w:type="dxa"/>
              <w:bottom w:w="0" w:type="dxa"/>
              <w:right w:w="0" w:type="dxa"/>
            </w:tcMar>
            <w:vAlign w:val="center"/>
          </w:tcPr>
          <w:p>
            <w:pPr>
              <w:pStyle w:val="TableContents"/>
              <w:bidi w:val="0"/>
              <w:spacing w:before="8" w:after="283"/>
              <w:ind w:left="0" w:right="0" w:firstLine="50"/>
              <w:jc w:val="right"/>
              <w:rPr>
                <w:rFonts w:ascii="Times New Roman" w:hAnsi="Times New Roman"/>
                <w:color w:val="000000"/>
                <w:sz w:val="24"/>
              </w:rPr>
            </w:pPr>
            <w:r>
              <w:rPr>
                <w:rFonts w:ascii="Times New Roman" w:hAnsi="Times New Roman"/>
                <w:color w:val="000000"/>
                <w:sz w:val="24"/>
              </w:rPr>
              <w:t>28</w:t>
            </w:r>
          </w:p>
        </w:tc>
      </w:tr>
      <w:tr>
        <w:trPr/>
        <w:tc>
          <w:tcPr>
            <w:tcW w:w="1074" w:type="dxa"/>
            <w:tcBorders/>
            <w:tcMar>
              <w:top w:w="0" w:type="dxa"/>
              <w:left w:w="0" w:type="dxa"/>
              <w:bottom w:w="0" w:type="dxa"/>
              <w:right w:w="0" w:type="dxa"/>
            </w:tcMar>
            <w:vAlign w:val="center"/>
          </w:tcPr>
          <w:p>
            <w:pPr>
              <w:pStyle w:val="TableContents"/>
              <w:bidi w:val="0"/>
              <w:spacing w:before="0" w:after="283"/>
              <w:ind w:left="0" w:right="0" w:firstLine="190"/>
              <w:jc w:val="left"/>
              <w:rPr>
                <w:rFonts w:ascii="Times New Roman" w:hAnsi="Times New Roman"/>
                <w:color w:val="000000"/>
                <w:sz w:val="24"/>
              </w:rPr>
            </w:pPr>
            <w:r>
              <w:rPr>
                <w:rFonts w:ascii="Times New Roman" w:hAnsi="Times New Roman"/>
                <w:color w:val="000000"/>
                <w:sz w:val="24"/>
              </w:rPr>
              <w:t>Item 5</w:t>
            </w:r>
          </w:p>
        </w:tc>
        <w:tc>
          <w:tcPr>
            <w:tcW w:w="8689" w:type="dxa"/>
            <w:tcBorders/>
            <w:tcMar>
              <w:top w:w="0" w:type="dxa"/>
              <w:left w:w="0" w:type="dxa"/>
              <w:bottom w:w="0" w:type="dxa"/>
              <w:right w:w="0" w:type="dxa"/>
            </w:tcMar>
            <w:vAlign w:val="center"/>
          </w:tcPr>
          <w:p>
            <w:pPr>
              <w:pStyle w:val="TableContents"/>
              <w:bidi w:val="0"/>
              <w:spacing w:before="0" w:after="283"/>
              <w:ind w:left="0" w:right="0" w:firstLine="190"/>
              <w:jc w:val="left"/>
              <w:rPr/>
            </w:pPr>
            <w:hyperlink w:anchor="other_information">
              <w:r>
                <w:rPr>
                  <w:rStyle w:val="InternetLink"/>
                  <w:rFonts w:ascii="Times New Roman" w:hAnsi="Times New Roman"/>
                  <w:color w:val="0000FF"/>
                  <w:sz w:val="24"/>
                  <w:u w:val="single"/>
                </w:rPr>
                <w:t>Other Information</w:t>
              </w:r>
            </w:hyperlink>
          </w:p>
        </w:tc>
        <w:tc>
          <w:tcPr>
            <w:tcW w:w="442" w:type="dxa"/>
            <w:tcBorders/>
            <w:tcMar>
              <w:top w:w="0" w:type="dxa"/>
              <w:left w:w="0" w:type="dxa"/>
              <w:bottom w:w="0" w:type="dxa"/>
              <w:right w:w="0" w:type="dxa"/>
            </w:tcMar>
            <w:vAlign w:val="center"/>
          </w:tcPr>
          <w:p>
            <w:pPr>
              <w:pStyle w:val="TableContents"/>
              <w:bidi w:val="0"/>
              <w:spacing w:before="8" w:after="283"/>
              <w:ind w:left="0" w:right="0" w:firstLine="50"/>
              <w:jc w:val="right"/>
              <w:rPr>
                <w:rFonts w:ascii="Times New Roman" w:hAnsi="Times New Roman"/>
                <w:color w:val="000000"/>
                <w:sz w:val="24"/>
              </w:rPr>
            </w:pPr>
            <w:r>
              <w:rPr>
                <w:rFonts w:ascii="Times New Roman" w:hAnsi="Times New Roman"/>
                <w:color w:val="000000"/>
                <w:sz w:val="24"/>
              </w:rPr>
              <w:t>28</w:t>
            </w:r>
          </w:p>
        </w:tc>
      </w:tr>
      <w:tr>
        <w:trPr/>
        <w:tc>
          <w:tcPr>
            <w:tcW w:w="1074" w:type="dxa"/>
            <w:tcBorders/>
            <w:tcMar>
              <w:top w:w="0" w:type="dxa"/>
              <w:left w:w="0" w:type="dxa"/>
              <w:bottom w:w="0" w:type="dxa"/>
              <w:right w:w="0" w:type="dxa"/>
            </w:tcMar>
            <w:vAlign w:val="center"/>
          </w:tcPr>
          <w:p>
            <w:pPr>
              <w:pStyle w:val="TableContents"/>
              <w:bidi w:val="0"/>
              <w:spacing w:before="0" w:after="283"/>
              <w:ind w:left="0" w:right="0" w:firstLine="190"/>
              <w:jc w:val="left"/>
              <w:rPr>
                <w:rFonts w:ascii="Times New Roman" w:hAnsi="Times New Roman"/>
                <w:color w:val="000000"/>
                <w:sz w:val="24"/>
              </w:rPr>
            </w:pPr>
            <w:r>
              <w:rPr>
                <w:rFonts w:ascii="Times New Roman" w:hAnsi="Times New Roman"/>
                <w:color w:val="000000"/>
                <w:sz w:val="24"/>
              </w:rPr>
              <w:t>Item 6</w:t>
            </w:r>
          </w:p>
        </w:tc>
        <w:tc>
          <w:tcPr>
            <w:tcW w:w="8689" w:type="dxa"/>
            <w:tcBorders/>
            <w:tcMar>
              <w:top w:w="0" w:type="dxa"/>
              <w:left w:w="0" w:type="dxa"/>
              <w:bottom w:w="0" w:type="dxa"/>
              <w:right w:w="0" w:type="dxa"/>
            </w:tcMar>
            <w:vAlign w:val="center"/>
          </w:tcPr>
          <w:p>
            <w:pPr>
              <w:pStyle w:val="TableContents"/>
              <w:bidi w:val="0"/>
              <w:spacing w:before="0" w:after="283"/>
              <w:ind w:left="0" w:right="0" w:firstLine="190"/>
              <w:jc w:val="left"/>
              <w:rPr/>
            </w:pPr>
            <w:hyperlink w:anchor="exhibits">
              <w:r>
                <w:rPr>
                  <w:rStyle w:val="InternetLink"/>
                  <w:rFonts w:ascii="Times New Roman" w:hAnsi="Times New Roman"/>
                  <w:color w:val="0000FF"/>
                  <w:sz w:val="24"/>
                  <w:u w:val="single"/>
                </w:rPr>
                <w:t>Exhibits</w:t>
              </w:r>
            </w:hyperlink>
          </w:p>
        </w:tc>
        <w:tc>
          <w:tcPr>
            <w:tcW w:w="442" w:type="dxa"/>
            <w:tcBorders/>
            <w:tcMar>
              <w:top w:w="0" w:type="dxa"/>
              <w:left w:w="0" w:type="dxa"/>
              <w:bottom w:w="0" w:type="dxa"/>
              <w:right w:w="0" w:type="dxa"/>
            </w:tcMar>
            <w:vAlign w:val="center"/>
          </w:tcPr>
          <w:p>
            <w:pPr>
              <w:pStyle w:val="TableContents"/>
              <w:bidi w:val="0"/>
              <w:spacing w:before="8" w:after="283"/>
              <w:ind w:left="0" w:right="0" w:firstLine="50"/>
              <w:jc w:val="right"/>
              <w:rPr>
                <w:rFonts w:ascii="Times New Roman" w:hAnsi="Times New Roman"/>
                <w:color w:val="000000"/>
                <w:sz w:val="24"/>
              </w:rPr>
            </w:pPr>
            <w:r>
              <w:rPr>
                <w:rFonts w:ascii="Times New Roman" w:hAnsi="Times New Roman"/>
                <w:color w:val="000000"/>
                <w:sz w:val="24"/>
              </w:rPr>
              <w:t>29</w:t>
            </w:r>
          </w:p>
        </w:tc>
      </w:tr>
      <w:tr>
        <w:trPr/>
        <w:tc>
          <w:tcPr>
            <w:tcW w:w="9763" w:type="dxa"/>
            <w:gridSpan w:val="2"/>
            <w:tcBorders/>
            <w:tcMar>
              <w:top w:w="0" w:type="dxa"/>
              <w:left w:w="0" w:type="dxa"/>
              <w:bottom w:w="0" w:type="dxa"/>
              <w:right w:w="0" w:type="dxa"/>
            </w:tcMar>
            <w:vAlign w:val="center"/>
          </w:tcPr>
          <w:p>
            <w:pPr>
              <w:pStyle w:val="TableContents"/>
              <w:bidi w:val="0"/>
              <w:ind w:left="0" w:right="0" w:firstLine="50"/>
              <w:jc w:val="left"/>
              <w:rPr/>
            </w:pPr>
            <w:r>
              <w:rPr/>
              <w:t> </w:t>
            </w:r>
          </w:p>
          <w:p>
            <w:pPr>
              <w:pStyle w:val="TableContents"/>
              <w:bidi w:val="0"/>
              <w:spacing w:before="0" w:after="283"/>
              <w:ind w:left="0" w:right="0" w:firstLine="50"/>
              <w:jc w:val="left"/>
              <w:rPr/>
            </w:pPr>
            <w:hyperlink w:anchor="signatures">
              <w:r>
                <w:rPr>
                  <w:rStyle w:val="InternetLink"/>
                  <w:rFonts w:ascii="Times New Roman" w:hAnsi="Times New Roman"/>
                  <w:color w:val="0000FF"/>
                  <w:sz w:val="24"/>
                  <w:u w:val="single"/>
                </w:rPr>
                <w:t>SIGNATURES</w:t>
              </w:r>
            </w:hyperlink>
          </w:p>
        </w:tc>
        <w:tc>
          <w:tcPr>
            <w:tcW w:w="442" w:type="dxa"/>
            <w:tcBorders/>
            <w:tcMar>
              <w:top w:w="0" w:type="dxa"/>
              <w:left w:w="0" w:type="dxa"/>
              <w:bottom w:w="0" w:type="dxa"/>
              <w:right w:w="0" w:type="dxa"/>
            </w:tcMar>
            <w:vAlign w:val="center"/>
          </w:tcPr>
          <w:p>
            <w:pPr>
              <w:pStyle w:val="TableContents"/>
              <w:bidi w:val="0"/>
              <w:spacing w:before="8" w:after="283"/>
              <w:jc w:val="right"/>
              <w:rPr/>
            </w:pPr>
            <w:r>
              <w:rPr/>
              <w:t> </w:t>
            </w:r>
          </w:p>
          <w:p>
            <w:pPr>
              <w:pStyle w:val="TableContents"/>
              <w:bidi w:val="0"/>
              <w:spacing w:before="8" w:after="283"/>
              <w:jc w:val="right"/>
              <w:rPr>
                <w:rFonts w:ascii="Times New Roman" w:hAnsi="Times New Roman"/>
                <w:color w:val="000000"/>
                <w:sz w:val="24"/>
              </w:rPr>
            </w:pPr>
            <w:r>
              <w:rPr>
                <w:rFonts w:ascii="Times New Roman" w:hAnsi="Times New Roman"/>
                <w:color w:val="000000"/>
                <w:sz w:val="24"/>
              </w:rPr>
              <w:t>30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CAUTIONARY STATEMENT RELATIVE TO FORWARD-LOOKING STATEMENTS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Form 10-Q contains certain “forward-looking statements” within the meaning of the Private Securities Litigation Reform Act of 1995. All statements other than statements of historical facts included or incorporated herein may constitute forward-looking statements. Such forward-looking statements include statements (covered by words like “expects,” “estimates,” “anticipates,” “may,” “could,” “believes,” “feels,” “plans,” “intends,” “outlook” or similar words or expressions, for example) which relate to earnings, growth potential, operating performance, events or developments that we expect or anticipate will or may occur in the future. Although forward-looking statements are believed by management to be reasonable when made, they are subject to certain risks, uncertainties and assumptions, and our actual performance or results may differ materially from these forward-looking statements. Additional information regarding risks, uncertainties and assumptions relating to Innospec and affecting our business operations and prospects are described in Innospec’s Annual Report on Form 10-K for the year ended December 31, 2025, and other reports filed with the U.S. Securities and Exchange Commission ("SEC"). You are urged to review our discussion of risks and uncertainties that could cause actual results to differ from forward-looking statements under the heading “Risk Factors” in such reports. Innospec undertakes no obligation to publicly update or revise any forward-looking statements, whether as a result of new information, future events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4"/>
          <w:u w:val="single"/>
        </w:rPr>
      </w:pPr>
      <w:bookmarkStart w:id="2" w:name="part_i_financial_information"/>
      <w:bookmarkEnd w:id="2"/>
      <w:r>
        <w:rPr>
          <w:rFonts w:ascii="Times New Roman" w:hAnsi="Times New Roman"/>
          <w:b/>
          <w:color w:val="000000"/>
          <w:sz w:val="24"/>
          <w:u w:val="single"/>
        </w:rPr>
        <w:t>PART I FINANCIAL INFORMATION</w:t>
      </w:r>
    </w:p>
    <w:p>
      <w:pPr>
        <w:pStyle w:val="TextBody"/>
        <w:bidi w:val="0"/>
        <w:spacing w:before="120" w:after="283"/>
        <w:jc w:val="both"/>
        <w:rPr>
          <w:rFonts w:ascii="Times New Roman" w:hAnsi="Times New Roman"/>
          <w:b/>
          <w:color w:val="000000"/>
          <w:sz w:val="24"/>
        </w:rPr>
      </w:pPr>
      <w:bookmarkStart w:id="3" w:name="item_1_condensed_consolidated_financial"/>
      <w:bookmarkEnd w:id="3"/>
      <w:r>
        <w:rPr>
          <w:rFonts w:ascii="Times New Roman" w:hAnsi="Times New Roman"/>
          <w:b/>
          <w:color w:val="000000"/>
          <w:sz w:val="24"/>
        </w:rPr>
        <w:t>Item 1 Condensed Consolidated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4"/>
        </w:rPr>
        <w:t>INNOSPEC INC.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bookmarkStart w:id="4" w:name="consolidated_statements_of_income"/>
      <w:bookmarkEnd w:id="4"/>
      <w:r>
        <w:rPr>
          <w:rFonts w:ascii="Times New Roman" w:hAnsi="Times New Roman"/>
          <w:b/>
          <w:color w:val="000000"/>
          <w:sz w:val="24"/>
        </w:rPr>
        <w:t>CONDENSED CONSOLIDATED STATEMENTS OF INCOME</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p>
      <w:pPr>
        <w:pStyle w:val="Heading2"/>
        <w:bidi w:val="0"/>
        <w:jc w:val="both"/>
        <w:rPr/>
      </w:pPr>
      <w:r>
        <w:rPr/>
        <w:t> </w:t>
      </w:r>
    </w:p>
    <w:tbl>
      <w:tblPr>
        <w:tblW w:w="9622" w:type="dxa"/>
        <w:jc w:val="left"/>
        <w:tblInd w:w="0" w:type="dxa"/>
        <w:tblLayout w:type="fixed"/>
        <w:tblCellMar>
          <w:top w:w="28" w:type="dxa"/>
          <w:left w:w="28" w:type="dxa"/>
          <w:bottom w:w="28" w:type="dxa"/>
          <w:right w:w="28" w:type="dxa"/>
        </w:tblCellMar>
      </w:tblPr>
      <w:tblGrid>
        <w:gridCol w:w="4581"/>
        <w:gridCol w:w="146"/>
        <w:gridCol w:w="211"/>
        <w:gridCol w:w="676"/>
        <w:gridCol w:w="166"/>
        <w:gridCol w:w="146"/>
        <w:gridCol w:w="211"/>
        <w:gridCol w:w="676"/>
        <w:gridCol w:w="166"/>
        <w:gridCol w:w="146"/>
        <w:gridCol w:w="211"/>
        <w:gridCol w:w="676"/>
        <w:gridCol w:w="166"/>
        <w:gridCol w:w="146"/>
        <w:gridCol w:w="211"/>
        <w:gridCol w:w="676"/>
        <w:gridCol w:w="411"/>
      </w:tblGrid>
      <w:tr>
        <w:trPr/>
        <w:tc>
          <w:tcPr>
            <w:tcW w:w="4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 except share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 to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Profit on disposal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Innospec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jc w:val="both"/>
        <w:rPr/>
      </w:pPr>
      <w:r>
        <w:rPr/>
        <w:t> </w:t>
      </w:r>
    </w:p>
    <w:p>
      <w:pPr>
        <w:pStyle w:val="TextBody"/>
        <w:bidi w:val="0"/>
        <w:jc w:val="center"/>
        <w:rPr>
          <w:rFonts w:ascii="Times New Roman" w:hAnsi="Times New Roman"/>
          <w:color w:val="000000"/>
          <w:sz w:val="21"/>
        </w:rPr>
      </w:pPr>
      <w:r>
        <w:rPr>
          <w:rFonts w:ascii="Times New Roman" w:hAnsi="Times New Roman"/>
          <w:color w:val="000000"/>
          <w:sz w:val="21"/>
        </w:rPr>
        <w:t>The accompanying notes are an integral part of these unaudited interim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INNOSPEC INC. AND SUBSIDIARIES</w:t>
      </w:r>
    </w:p>
    <w:p>
      <w:pPr>
        <w:pStyle w:val="TextBody"/>
        <w:bidi w:val="0"/>
        <w:jc w:val="center"/>
        <w:rPr>
          <w:rFonts w:ascii="Times New Roman" w:hAnsi="Times New Roman"/>
          <w:b/>
          <w:color w:val="000000"/>
          <w:sz w:val="24"/>
        </w:rPr>
      </w:pPr>
      <w:bookmarkStart w:id="5" w:name="consolidated_statements_of_comprehensive"/>
      <w:bookmarkEnd w:id="5"/>
      <w:r>
        <w:rPr>
          <w:rFonts w:ascii="Times New Roman" w:hAnsi="Times New Roman"/>
          <w:b/>
          <w:color w:val="000000"/>
          <w:sz w:val="24"/>
        </w:rPr>
        <w:t>CONDENSED CONSOLIDATED STATEMENTS OF COMPREHENSIVE INCOME</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p>
      <w:pPr>
        <w:pStyle w:val="TextBody"/>
        <w:bidi w:val="0"/>
        <w:jc w:val="both"/>
        <w:rPr/>
      </w:pPr>
      <w:r>
        <w:rPr/>
        <w:t> </w:t>
      </w:r>
    </w:p>
    <w:tbl>
      <w:tblPr>
        <w:tblW w:w="10167" w:type="dxa"/>
        <w:jc w:val="left"/>
        <w:tblInd w:w="0" w:type="dxa"/>
        <w:tblLayout w:type="fixed"/>
        <w:tblCellMar>
          <w:top w:w="28" w:type="dxa"/>
          <w:left w:w="28" w:type="dxa"/>
          <w:bottom w:w="28" w:type="dxa"/>
          <w:right w:w="28" w:type="dxa"/>
        </w:tblCellMar>
      </w:tblPr>
      <w:tblGrid>
        <w:gridCol w:w="5901"/>
        <w:gridCol w:w="146"/>
        <w:gridCol w:w="211"/>
        <w:gridCol w:w="466"/>
        <w:gridCol w:w="166"/>
        <w:gridCol w:w="146"/>
        <w:gridCol w:w="211"/>
        <w:gridCol w:w="466"/>
        <w:gridCol w:w="146"/>
        <w:gridCol w:w="146"/>
        <w:gridCol w:w="211"/>
        <w:gridCol w:w="466"/>
        <w:gridCol w:w="166"/>
        <w:gridCol w:w="146"/>
        <w:gridCol w:w="211"/>
        <w:gridCol w:w="571"/>
        <w:gridCol w:w="391"/>
      </w:tblGrid>
      <w:tr>
        <w:trPr/>
        <w:tc>
          <w:tcPr>
            <w:tcW w:w="5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Innospec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Changes in cumulative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income/(loss),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Tax related to cumulative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income/(expense) related to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 attributable to Innospec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4"/>
        </w:rPr>
        <w:t>INNOSPEC INC.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bookmarkStart w:id="6" w:name="condensed_consolidated_balance_sheets"/>
      <w:bookmarkEnd w:id="6"/>
      <w:r>
        <w:rPr>
          <w:rFonts w:ascii="Times New Roman" w:hAnsi="Times New Roman"/>
          <w:b/>
          <w:color w:val="000000"/>
          <w:sz w:val="24"/>
        </w:rPr>
        <w:t>CONDENSED CONSOLIDATED BALANCE SHEETS</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tbl>
      <w:tblPr>
        <w:tblW w:w="10205" w:type="dxa"/>
        <w:jc w:val="left"/>
        <w:tblInd w:w="0" w:type="dxa"/>
        <w:tblLayout w:type="fixed"/>
        <w:tblCellMar>
          <w:top w:w="28" w:type="dxa"/>
          <w:left w:w="28" w:type="dxa"/>
          <w:bottom w:w="28" w:type="dxa"/>
          <w:right w:w="28" w:type="dxa"/>
        </w:tblCellMar>
      </w:tblPr>
      <w:tblGrid>
        <w:gridCol w:w="7157"/>
        <w:gridCol w:w="146"/>
        <w:gridCol w:w="211"/>
        <w:gridCol w:w="721"/>
        <w:gridCol w:w="146"/>
        <w:gridCol w:w="146"/>
        <w:gridCol w:w="246"/>
        <w:gridCol w:w="840"/>
        <w:gridCol w:w="592"/>
      </w:tblGrid>
      <w:tr>
        <w:trPr/>
        <w:tc>
          <w:tcPr>
            <w:tcW w:w="7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 except share and per share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1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Trade and other accounts receivable (less allowances of $15.4 million and $11.8 million</w:t>
              <w:br/>
              <w:t>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(less allowances of $42.5 million and $40.4 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1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1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1,004.6</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286.1</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1,832.4</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jc w:val="center"/>
        <w:rPr/>
      </w:pPr>
      <w:r>
        <w:rPr/>
        <w:t> </w:t>
      </w:r>
    </w:p>
    <w:tbl>
      <w:tblPr>
        <w:tblW w:w="9684" w:type="dxa"/>
        <w:jc w:val="left"/>
        <w:tblInd w:w="0" w:type="dxa"/>
        <w:tblLayout w:type="fixed"/>
        <w:tblCellMar>
          <w:top w:w="28" w:type="dxa"/>
          <w:left w:w="28" w:type="dxa"/>
          <w:bottom w:w="28" w:type="dxa"/>
          <w:right w:w="28" w:type="dxa"/>
        </w:tblCellMar>
      </w:tblPr>
      <w:tblGrid>
        <w:gridCol w:w="6951"/>
        <w:gridCol w:w="146"/>
        <w:gridCol w:w="211"/>
        <w:gridCol w:w="721"/>
        <w:gridCol w:w="166"/>
        <w:gridCol w:w="146"/>
        <w:gridCol w:w="211"/>
        <w:gridCol w:w="721"/>
        <w:gridCol w:w="411"/>
      </w:tblGrid>
      <w:tr>
        <w:trPr/>
        <w:tc>
          <w:tcPr>
            <w:tcW w:w="6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plant closure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acquisition-related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closure provisions,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Pension liabilities and post-employment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Acquisition-related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$0.01 par value, authorized 40,000,000 shares, issued 29,554,500</w:t>
              <w:br/>
              <w: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stock (4,923,453 and 4,776,918 shares at cost,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Innospec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1,832.4</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4"/>
        </w:rPr>
        <w:t>INNOSPEC INC.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bookmarkStart w:id="7" w:name="consolidated_statements_of_cash_flows"/>
      <w:bookmarkEnd w:id="7"/>
      <w:r>
        <w:rPr>
          <w:rFonts w:ascii="Times New Roman" w:hAnsi="Times New Roman"/>
          <w:b/>
          <w:color w:val="000000"/>
          <w:sz w:val="24"/>
        </w:rPr>
        <w:t>CONDENSED CONSOLIDATED STATEMENTS OF CASH FLOWS</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p>
      <w:pPr>
        <w:pStyle w:val="TextBody"/>
        <w:bidi w:val="0"/>
        <w:spacing w:before="1" w:after="283"/>
        <w:jc w:val="left"/>
        <w:rPr/>
      </w:pPr>
      <w:r>
        <w:rPr/>
        <w:t> </w:t>
      </w:r>
    </w:p>
    <w:tbl>
      <w:tblPr>
        <w:tblW w:w="9689" w:type="dxa"/>
        <w:jc w:val="left"/>
        <w:tblInd w:w="0" w:type="dxa"/>
        <w:tblLayout w:type="fixed"/>
        <w:tblCellMar>
          <w:top w:w="28" w:type="dxa"/>
          <w:left w:w="28" w:type="dxa"/>
          <w:bottom w:w="28" w:type="dxa"/>
          <w:right w:w="28" w:type="dxa"/>
        </w:tblCellMar>
      </w:tblPr>
      <w:tblGrid>
        <w:gridCol w:w="7056"/>
        <w:gridCol w:w="146"/>
        <w:gridCol w:w="211"/>
        <w:gridCol w:w="571"/>
        <w:gridCol w:w="166"/>
        <w:gridCol w:w="146"/>
        <w:gridCol w:w="211"/>
        <w:gridCol w:w="571"/>
        <w:gridCol w:w="611"/>
      </w:tblGrid>
      <w:tr>
        <w:trPr/>
        <w:tc>
          <w:tcPr>
            <w:tcW w:w="7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 to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Profit on disposal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Movements on defined benefit pension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assets and liabilities, net of effects of acquired and divested companies: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Trade and other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Plant closure 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Internally developed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on disposal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 of treasury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currency exchange rate changes on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4"/>
        </w:rPr>
        <w:t>INNOSPEC INC. AND SUBSIDIARIES</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bookmarkStart w:id="8" w:name="consolidated_statements_of_equity"/>
      <w:bookmarkEnd w:id="8"/>
      <w:r>
        <w:rPr>
          <w:rFonts w:ascii="Times New Roman" w:hAnsi="Times New Roman"/>
          <w:b/>
          <w:color w:val="000000"/>
          <w:sz w:val="24"/>
        </w:rPr>
        <w:t>CONDENSED CONSOLIDATED STATEMENTS OF EQUITY</w:t>
      </w:r>
    </w:p>
    <w:p>
      <w:pPr>
        <w:pStyle w:val="TextBody"/>
        <w:bidi w:val="0"/>
        <w:jc w:val="center"/>
        <w:rPr>
          <w:rFonts w:ascii="Times New Roman" w:hAnsi="Times New Roman"/>
          <w:b/>
          <w:color w:val="000000"/>
          <w:sz w:val="24"/>
        </w:rPr>
      </w:pPr>
      <w:r>
        <w:rPr>
          <w:rFonts w:ascii="Times New Roman" w:hAnsi="Times New Roman"/>
          <w:b/>
          <w:color w:val="000000"/>
          <w:sz w:val="24"/>
        </w:rPr>
        <w:t>(Unaudited)</w:t>
      </w:r>
    </w:p>
    <w:p>
      <w:pPr>
        <w:pStyle w:val="Heading2"/>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51"/>
        <w:gridCol w:w="146"/>
        <w:gridCol w:w="234"/>
        <w:gridCol w:w="397"/>
        <w:gridCol w:w="146"/>
        <w:gridCol w:w="146"/>
        <w:gridCol w:w="208"/>
        <w:gridCol w:w="543"/>
        <w:gridCol w:w="166"/>
        <w:gridCol w:w="146"/>
        <w:gridCol w:w="196"/>
        <w:gridCol w:w="571"/>
        <w:gridCol w:w="166"/>
        <w:gridCol w:w="146"/>
        <w:gridCol w:w="196"/>
        <w:gridCol w:w="646"/>
        <w:gridCol w:w="166"/>
        <w:gridCol w:w="146"/>
        <w:gridCol w:w="295"/>
        <w:gridCol w:w="726"/>
        <w:gridCol w:w="166"/>
        <w:gridCol w:w="146"/>
        <w:gridCol w:w="301"/>
        <w:gridCol w:w="510"/>
        <w:gridCol w:w="146"/>
        <w:gridCol w:w="146"/>
        <w:gridCol w:w="196"/>
        <w:gridCol w:w="646"/>
        <w:gridCol w:w="211"/>
      </w:tblGrid>
      <w:tr>
        <w:trPr/>
        <w:tc>
          <w:tcPr>
            <w:tcW w:w="2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w:t>
              <w:br/>
              <w:t>Controlling</w:t>
              <w:b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attributable to Innospec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'Dividend paid ($0.84</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cumulative translation adjustment,</w:t>
              <w:br/>
              <w: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of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stock reissued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stock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51"/>
        <w:gridCol w:w="146"/>
        <w:gridCol w:w="234"/>
        <w:gridCol w:w="397"/>
        <w:gridCol w:w="146"/>
        <w:gridCol w:w="146"/>
        <w:gridCol w:w="208"/>
        <w:gridCol w:w="543"/>
        <w:gridCol w:w="166"/>
        <w:gridCol w:w="146"/>
        <w:gridCol w:w="196"/>
        <w:gridCol w:w="571"/>
        <w:gridCol w:w="166"/>
        <w:gridCol w:w="146"/>
        <w:gridCol w:w="196"/>
        <w:gridCol w:w="646"/>
        <w:gridCol w:w="166"/>
        <w:gridCol w:w="146"/>
        <w:gridCol w:w="295"/>
        <w:gridCol w:w="726"/>
        <w:gridCol w:w="166"/>
        <w:gridCol w:w="146"/>
        <w:gridCol w:w="301"/>
        <w:gridCol w:w="510"/>
        <w:gridCol w:w="146"/>
        <w:gridCol w:w="146"/>
        <w:gridCol w:w="196"/>
        <w:gridCol w:w="646"/>
        <w:gridCol w:w="211"/>
      </w:tblGrid>
      <w:tr>
        <w:trPr/>
        <w:tc>
          <w:tcPr>
            <w:tcW w:w="2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w:t>
              <w:br/>
              <w:t>Controlling</w:t>
              <w:b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attributable to Innospec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Dividend paid ($0.76</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cumulative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of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stock reissued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stock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51"/>
        <w:gridCol w:w="146"/>
        <w:gridCol w:w="234"/>
        <w:gridCol w:w="397"/>
        <w:gridCol w:w="146"/>
        <w:gridCol w:w="146"/>
        <w:gridCol w:w="208"/>
        <w:gridCol w:w="543"/>
        <w:gridCol w:w="166"/>
        <w:gridCol w:w="146"/>
        <w:gridCol w:w="196"/>
        <w:gridCol w:w="571"/>
        <w:gridCol w:w="166"/>
        <w:gridCol w:w="146"/>
        <w:gridCol w:w="196"/>
        <w:gridCol w:w="646"/>
        <w:gridCol w:w="166"/>
        <w:gridCol w:w="146"/>
        <w:gridCol w:w="295"/>
        <w:gridCol w:w="726"/>
        <w:gridCol w:w="166"/>
        <w:gridCol w:w="146"/>
        <w:gridCol w:w="301"/>
        <w:gridCol w:w="510"/>
        <w:gridCol w:w="146"/>
        <w:gridCol w:w="146"/>
        <w:gridCol w:w="196"/>
        <w:gridCol w:w="646"/>
        <w:gridCol w:w="211"/>
      </w:tblGrid>
      <w:tr>
        <w:trPr/>
        <w:tc>
          <w:tcPr>
            <w:tcW w:w="2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w:t>
              <w:br/>
              <w:t>Controlling</w:t>
              <w:b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attributable to Innospec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'Dividend paid ($0.84</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cumulative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of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stock reissued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stock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Heading2"/>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351"/>
        <w:gridCol w:w="146"/>
        <w:gridCol w:w="234"/>
        <w:gridCol w:w="397"/>
        <w:gridCol w:w="146"/>
        <w:gridCol w:w="146"/>
        <w:gridCol w:w="208"/>
        <w:gridCol w:w="543"/>
        <w:gridCol w:w="166"/>
        <w:gridCol w:w="146"/>
        <w:gridCol w:w="196"/>
        <w:gridCol w:w="571"/>
        <w:gridCol w:w="166"/>
        <w:gridCol w:w="146"/>
        <w:gridCol w:w="196"/>
        <w:gridCol w:w="646"/>
        <w:gridCol w:w="166"/>
        <w:gridCol w:w="146"/>
        <w:gridCol w:w="295"/>
        <w:gridCol w:w="726"/>
        <w:gridCol w:w="166"/>
        <w:gridCol w:w="146"/>
        <w:gridCol w:w="301"/>
        <w:gridCol w:w="510"/>
        <w:gridCol w:w="146"/>
        <w:gridCol w:w="146"/>
        <w:gridCol w:w="196"/>
        <w:gridCol w:w="646"/>
        <w:gridCol w:w="211"/>
      </w:tblGrid>
      <w:tr>
        <w:trPr/>
        <w:tc>
          <w:tcPr>
            <w:tcW w:w="2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b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Treasury</w:t>
              <w:b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Retained</w:t>
              <w:b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w:t>
              <w:br/>
              <w:t>Controlling</w:t>
              <w:b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 attributable to Innospec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Dividend paid ($0.76</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Changes in cumulative translation adjustment,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 of 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stock reissued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Treasury stock repurchased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option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1,301.5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interim condensed consolidated financial statements.</w:t>
      </w:r>
    </w:p>
    <w:p>
      <w:pPr>
        <w:pStyle w:val="TextBody"/>
        <w:bidi w:val="0"/>
        <w:jc w:val="center"/>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4"/>
        </w:rPr>
      </w:pPr>
      <w:r>
        <w:rPr>
          <w:rFonts w:ascii="Times New Roman" w:hAnsi="Times New Roman"/>
          <w:color w:val="000000"/>
          <w:sz w:val="24"/>
        </w:rPr>
        <w:t>INNOSPEC INC. AND SUBSIDIARIES</w:t>
      </w:r>
    </w:p>
    <w:p>
      <w:pPr>
        <w:pStyle w:val="Heading1"/>
        <w:bidi w:val="0"/>
        <w:spacing w:before="240" w:after="283"/>
        <w:jc w:val="center"/>
        <w:rPr>
          <w:rFonts w:ascii="Times New Roman" w:hAnsi="Times New Roman"/>
          <w:color w:val="000000"/>
          <w:sz w:val="24"/>
        </w:rPr>
      </w:pPr>
      <w:bookmarkStart w:id="9" w:name="notes_to_the_unaudited_interim_condensed"/>
      <w:bookmarkEnd w:id="9"/>
      <w:r>
        <w:rPr>
          <w:rFonts w:ascii="Times New Roman" w:hAnsi="Times New Roman"/>
          <w:color w:val="000000"/>
          <w:sz w:val="24"/>
        </w:rPr>
        <w:t>NOTES TO THE UNAUDITED INTERIM CONDENSED CONSOLIDATED FINANCIAL STATEMENTS</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NOTE 1 – BASIS OF PRESENTATION</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accompanying unaudited interim condensed consolidated financial statements have been prepared in accordance with generally accepted accounting principles in the United States of America for interim financial information and with the instructions to Form 10-Q and Article 10 of Regulation S-X under the Securities Exchange Act of 1934. Accordingly, they do not include all the information and notes necessary for a comprehensive presentation of financial position, results of operations and cash flows.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It is our opinion, however, that all adjustments (consisting of normal, recurring adjustments, unless otherwise disclosed) have been made which are necessary for a fair statement of the condensed consolidated financial statements. These condensed consolidated financial statements should be read in conjunction with the consolidated financial statements and notes thereto included in the Company’s Annual Report on Form 10-K for the year ended December 31, 2025, filed on February 18, 2026 (the “2025 Form 10-K”).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results for the interim period covered by this report are not necessarily indicative of the results to be expected for the full year.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When we use the terms “Innospec,” “the Corporation,” “the Company,” “Registrant,” “the Group,” “we,” “us” and “our,” we are referring to Innospec Inc. and its consolidated subsidiaries unless otherwise indicated or the context otherwise requires.</w:t>
      </w:r>
    </w:p>
    <w:p>
      <w:pPr>
        <w:pStyle w:val="TextBody"/>
        <w:bidi w:val="0"/>
        <w:spacing w:before="360" w:after="283"/>
        <w:jc w:val="both"/>
        <w:rPr>
          <w:rFonts w:ascii="Times New Roman" w:hAnsi="Times New Roman"/>
          <w:b/>
          <w:i/>
          <w:color w:val="000000"/>
          <w:sz w:val="24"/>
        </w:rPr>
      </w:pPr>
      <w:r>
        <w:rPr>
          <w:rFonts w:ascii="Times New Roman" w:hAnsi="Times New Roman"/>
          <w:b/>
          <w:i/>
          <w:color w:val="000000"/>
          <w:sz w:val="24"/>
        </w:rPr>
        <w:t>NOTE 2 – SEGMENT REPORTING</w:t>
      </w:r>
    </w:p>
    <w:p>
      <w:pPr>
        <w:pStyle w:val="TextBody"/>
        <w:bidi w:val="0"/>
        <w:spacing w:before="120" w:after="283"/>
        <w:jc w:val="both"/>
        <w:rPr>
          <w:rFonts w:ascii="Times New Roman" w:hAnsi="Times New Roman"/>
          <w:sz w:val="20"/>
        </w:rPr>
      </w:pPr>
      <w:r>
        <w:rPr>
          <w:rFonts w:ascii="Times New Roman" w:hAnsi="Times New Roman"/>
          <w:color w:val="000000"/>
          <w:sz w:val="24"/>
        </w:rPr>
        <w:t>The Company reports its financial performance based on three</w:t>
      </w:r>
      <w:r>
        <w:rPr>
          <w:rFonts w:ascii="Times New Roman" w:hAnsi="Times New Roman"/>
          <w:color w:val="000000"/>
          <w:sz w:val="20"/>
        </w:rPr>
        <w:t xml:space="preserve"> </w:t>
      </w:r>
      <w:r>
        <w:rPr>
          <w:rFonts w:ascii="Times New Roman" w:hAnsi="Times New Roman"/>
          <w:color w:val="000000"/>
          <w:sz w:val="24"/>
        </w:rPr>
        <w:t>reportable segments, which are Performance Chemicals, Fuel Specialties and Oilfield Services.</w:t>
      </w:r>
    </w:p>
    <w:p>
      <w:pPr>
        <w:pStyle w:val="TextBody"/>
        <w:bidi w:val="0"/>
        <w:spacing w:before="120" w:after="283"/>
        <w:jc w:val="both"/>
        <w:rPr>
          <w:rFonts w:ascii="Times New Roman" w:hAnsi="Times New Roman"/>
          <w:sz w:val="20"/>
        </w:rPr>
      </w:pPr>
      <w:r>
        <w:rPr>
          <w:rFonts w:ascii="Times New Roman" w:hAnsi="Times New Roman"/>
          <w:color w:val="000000"/>
          <w:sz w:val="24"/>
        </w:rPr>
        <w:t>The Chief Operating Decision Maker (“CODM”) is the President and Chief Executive Officer</w:t>
      </w:r>
      <w:r>
        <w:rPr>
          <w:rFonts w:ascii="Times New Roman" w:hAnsi="Times New Roman"/>
          <w:color w:val="000000"/>
          <w:sz w:val="20"/>
        </w:rPr>
        <w:t xml:space="preserve"> </w:t>
      </w:r>
      <w:r>
        <w:rPr>
          <w:rFonts w:ascii="Times New Roman" w:hAnsi="Times New Roman"/>
          <w:color w:val="000000"/>
          <w:sz w:val="24"/>
        </w:rPr>
        <w:t xml:space="preserve">(the Principal Executive Officer). The CODM evaluates the performance of the Company’s segments and makes strategic decisions relating to the Company's allocation of resources, based on the segments' gross profit and operating income.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table analyzes sales and other financial information by the Company’s reportable segments:</w:t>
      </w:r>
    </w:p>
    <w:p>
      <w:pPr>
        <w:pStyle w:val="TextBody"/>
        <w:bidi w:val="0"/>
        <w:jc w:val="both"/>
        <w:rPr/>
      </w:pPr>
      <w:r>
        <w:rPr/>
        <w:t> </w:t>
      </w:r>
    </w:p>
    <w:tbl>
      <w:tblPr>
        <w:tblW w:w="8982" w:type="dxa"/>
        <w:jc w:val="left"/>
        <w:tblInd w:w="0" w:type="dxa"/>
        <w:tblLayout w:type="fixed"/>
        <w:tblCellMar>
          <w:top w:w="28" w:type="dxa"/>
          <w:left w:w="28" w:type="dxa"/>
          <w:bottom w:w="28" w:type="dxa"/>
          <w:right w:w="28" w:type="dxa"/>
        </w:tblCellMar>
      </w:tblPr>
      <w:tblGrid>
        <w:gridCol w:w="4381"/>
        <w:gridCol w:w="146"/>
        <w:gridCol w:w="211"/>
        <w:gridCol w:w="571"/>
        <w:gridCol w:w="166"/>
        <w:gridCol w:w="146"/>
        <w:gridCol w:w="211"/>
        <w:gridCol w:w="571"/>
        <w:gridCol w:w="166"/>
        <w:gridCol w:w="146"/>
        <w:gridCol w:w="211"/>
        <w:gridCol w:w="571"/>
        <w:gridCol w:w="166"/>
        <w:gridCol w:w="146"/>
        <w:gridCol w:w="211"/>
        <w:gridCol w:w="571"/>
        <w:gridCol w:w="3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Personal Care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Home Care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Refinery and Performance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20"/>
              </w:rPr>
            </w:pPr>
            <w:r>
              <w:rPr>
                <w:rFonts w:ascii="Times New Roman" w:hAnsi="Times New Roman"/>
                <w:i/>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Specialties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to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on disposal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difference between net sales and gross profit is defined as cost of goods sold. The difference between segmental gross profit and operating income/(expense) is split between selling, general and administrative expenses and 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
        </w:rPr>
      </w:pPr>
      <w:r>
        <w:rPr>
          <w:rFonts w:ascii="Times New Roman" w:hAnsi="Times New Roman"/>
          <w:color w:val="000000"/>
          <w:sz w:val="2"/>
        </w:rPr>
      </w:r>
    </w:p>
    <w:p>
      <w:pPr>
        <w:pStyle w:val="TextBody"/>
        <w:bidi w:val="0"/>
        <w:jc w:val="both"/>
        <w:rPr>
          <w:rFonts w:ascii="Times New Roman" w:hAnsi="Times New Roman"/>
          <w:sz w:val="20"/>
        </w:rPr>
      </w:pPr>
      <w:r>
        <w:rPr>
          <w:rFonts w:ascii="Times New Roman" w:hAnsi="Times New Roman"/>
          <w:color w:val="000000"/>
          <w:sz w:val="24"/>
        </w:rPr>
        <w:t>The following table analyzes cost of goods sold by the Company’s reportable segments:</w:t>
      </w:r>
      <w:r>
        <w:rPr>
          <w:rFonts w:ascii="Times New Roman" w:hAnsi="Times New Roman"/>
          <w:color w:val="000000"/>
          <w:sz w:val="20"/>
        </w:rPr>
        <w:t xml:space="preserve"> </w:t>
      </w:r>
    </w:p>
    <w:p>
      <w:pPr>
        <w:pStyle w:val="TextBody"/>
        <w:bidi w:val="0"/>
        <w:jc w:val="both"/>
        <w:rPr/>
      </w:pPr>
      <w:r>
        <w:rPr/>
        <w:t> </w:t>
      </w:r>
    </w:p>
    <w:tbl>
      <w:tblPr>
        <w:tblW w:w="6412" w:type="dxa"/>
        <w:jc w:val="left"/>
        <w:tblInd w:w="0" w:type="dxa"/>
        <w:tblLayout w:type="fixed"/>
        <w:tblCellMar>
          <w:top w:w="28" w:type="dxa"/>
          <w:left w:w="28" w:type="dxa"/>
          <w:bottom w:w="28" w:type="dxa"/>
          <w:right w:w="28" w:type="dxa"/>
        </w:tblCellMar>
      </w:tblPr>
      <w:tblGrid>
        <w:gridCol w:w="2071"/>
        <w:gridCol w:w="146"/>
        <w:gridCol w:w="211"/>
        <w:gridCol w:w="571"/>
        <w:gridCol w:w="146"/>
        <w:gridCol w:w="146"/>
        <w:gridCol w:w="211"/>
        <w:gridCol w:w="571"/>
        <w:gridCol w:w="146"/>
        <w:gridCol w:w="146"/>
        <w:gridCol w:w="211"/>
        <w:gridCol w:w="571"/>
        <w:gridCol w:w="146"/>
        <w:gridCol w:w="146"/>
        <w:gridCol w:w="211"/>
        <w:gridCol w:w="571"/>
        <w:gridCol w:w="19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The following table analyzes selling, general and administrative expenses and research and development expenses by the Company’s reportable segments: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34"/>
        <w:gridCol w:w="146"/>
        <w:gridCol w:w="211"/>
        <w:gridCol w:w="466"/>
        <w:gridCol w:w="146"/>
        <w:gridCol w:w="146"/>
        <w:gridCol w:w="211"/>
        <w:gridCol w:w="466"/>
        <w:gridCol w:w="146"/>
        <w:gridCol w:w="146"/>
        <w:gridCol w:w="211"/>
        <w:gridCol w:w="571"/>
        <w:gridCol w:w="146"/>
        <w:gridCol w:w="146"/>
        <w:gridCol w:w="211"/>
        <w:gridCol w:w="571"/>
        <w:gridCol w:w="331"/>
      </w:tblGrid>
      <w:tr>
        <w:trPr/>
        <w:tc>
          <w:tcPr>
            <w:tcW w:w="59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59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 expenses and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360" w:after="283"/>
        <w:jc w:val="both"/>
        <w:rPr>
          <w:rFonts w:ascii="Times New Roman" w:hAnsi="Times New Roman"/>
          <w:b/>
          <w:i/>
          <w:color w:val="000000"/>
          <w:sz w:val="24"/>
        </w:rPr>
      </w:pPr>
      <w:r>
        <w:rPr>
          <w:rFonts w:ascii="Times New Roman" w:hAnsi="Times New Roman"/>
          <w:b/>
          <w:i/>
          <w:color w:val="000000"/>
          <w:sz w:val="24"/>
        </w:rPr>
        <w:t>NOTE 3 – EARNINGS PER SHARE</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Basic earnings per share is based on the weighted average number of common shares outstanding during the period. Diluted earnings per share includes the effect of options that are dilutive and outstanding during the period under the treasury stock method. Per share amounts are computed as follows:</w:t>
      </w:r>
    </w:p>
    <w:p>
      <w:pPr>
        <w:pStyle w:val="TextBody"/>
        <w:bidi w:val="0"/>
        <w:jc w:val="left"/>
        <w:rPr/>
      </w:pPr>
      <w:r>
        <w:rPr/>
        <w:t> </w:t>
      </w:r>
    </w:p>
    <w:tbl>
      <w:tblPr>
        <w:tblW w:w="8662" w:type="dxa"/>
        <w:jc w:val="left"/>
        <w:tblInd w:w="0" w:type="dxa"/>
        <w:tblLayout w:type="fixed"/>
        <w:tblCellMar>
          <w:top w:w="28" w:type="dxa"/>
          <w:left w:w="28" w:type="dxa"/>
          <w:bottom w:w="28" w:type="dxa"/>
          <w:right w:w="28" w:type="dxa"/>
        </w:tblCellMar>
      </w:tblPr>
      <w:tblGrid>
        <w:gridCol w:w="3901"/>
        <w:gridCol w:w="146"/>
        <w:gridCol w:w="211"/>
        <w:gridCol w:w="676"/>
        <w:gridCol w:w="146"/>
        <w:gridCol w:w="146"/>
        <w:gridCol w:w="211"/>
        <w:gridCol w:w="676"/>
        <w:gridCol w:w="146"/>
        <w:gridCol w:w="146"/>
        <w:gridCol w:w="211"/>
        <w:gridCol w:w="676"/>
        <w:gridCol w:w="146"/>
        <w:gridCol w:w="146"/>
        <w:gridCol w:w="211"/>
        <w:gridCol w:w="676"/>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available to Innospec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stock options and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per share,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In the three and six months ended June 30, 2026, the average number of anti-dilutive options excluded from the calculation of diluted earnings per share were 23,172</w:t>
      </w:r>
      <w:r>
        <w:rPr>
          <w:rFonts w:ascii="Times New Roman" w:hAnsi="Times New Roman"/>
          <w:color w:val="000000"/>
          <w:sz w:val="20"/>
        </w:rPr>
        <w:t xml:space="preserve"> </w:t>
      </w:r>
      <w:r>
        <w:rPr>
          <w:rFonts w:ascii="Times New Roman" w:hAnsi="Times New Roman"/>
          <w:color w:val="000000"/>
          <w:sz w:val="24"/>
        </w:rPr>
        <w:t>and 23,346</w:t>
      </w:r>
      <w:r>
        <w:rPr>
          <w:rFonts w:ascii="Times New Roman" w:hAnsi="Times New Roman"/>
          <w:color w:val="000000"/>
          <w:sz w:val="20"/>
        </w:rPr>
        <w:t xml:space="preserve"> </w:t>
      </w:r>
      <w:r>
        <w:rPr>
          <w:rFonts w:ascii="Times New Roman" w:hAnsi="Times New Roman"/>
          <w:color w:val="000000"/>
          <w:sz w:val="24"/>
        </w:rPr>
        <w:t>(three and six months ended June 30, 2025– 59,418</w:t>
      </w:r>
      <w:r>
        <w:rPr>
          <w:rFonts w:ascii="Times New Roman" w:hAnsi="Times New Roman"/>
          <w:color w:val="000000"/>
          <w:sz w:val="20"/>
        </w:rPr>
        <w:t xml:space="preserve"> </w:t>
      </w:r>
      <w:r>
        <w:rPr>
          <w:rFonts w:ascii="Times New Roman" w:hAnsi="Times New Roman"/>
          <w:color w:val="000000"/>
          <w:sz w:val="24"/>
        </w:rPr>
        <w:t>and 23,283).</w:t>
      </w:r>
    </w:p>
    <w:p>
      <w:pPr>
        <w:pStyle w:val="TextBody"/>
        <w:bidi w:val="0"/>
        <w:spacing w:before="360" w:after="283"/>
        <w:jc w:val="both"/>
        <w:rPr>
          <w:rFonts w:ascii="Times New Roman" w:hAnsi="Times New Roman"/>
          <w:b/>
          <w:i/>
          <w:color w:val="000000"/>
          <w:sz w:val="24"/>
        </w:rPr>
      </w:pPr>
      <w:r>
        <w:rPr>
          <w:rFonts w:ascii="Times New Roman" w:hAnsi="Times New Roman"/>
          <w:b/>
          <w:i/>
          <w:color w:val="000000"/>
          <w:sz w:val="24"/>
        </w:rPr>
        <w:t>NOTE 4 – GOODWILL</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following table summarizes the goodwill movements in the year:</w:t>
      </w:r>
    </w:p>
    <w:p>
      <w:pPr>
        <w:pStyle w:val="TextBody"/>
        <w:bidi w:val="0"/>
        <w:jc w:val="left"/>
        <w:rPr/>
      </w:pPr>
      <w:r>
        <w:rPr/>
        <w:t> </w:t>
      </w:r>
    </w:p>
    <w:tbl>
      <w:tblPr>
        <w:tblW w:w="3660" w:type="dxa"/>
        <w:jc w:val="left"/>
        <w:tblInd w:w="0" w:type="dxa"/>
        <w:tblLayout w:type="fixed"/>
        <w:tblCellMar>
          <w:top w:w="28" w:type="dxa"/>
          <w:left w:w="28" w:type="dxa"/>
          <w:bottom w:w="28" w:type="dxa"/>
          <w:right w:w="28" w:type="dxa"/>
        </w:tblCellMar>
      </w:tblPr>
      <w:tblGrid>
        <w:gridCol w:w="2521"/>
        <w:gridCol w:w="146"/>
        <w:gridCol w:w="211"/>
        <w:gridCol w:w="571"/>
        <w:gridCol w:w="21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Opening balance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Performance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Fuel 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Closing balance at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i/>
          <w:color w:val="000000"/>
          <w:sz w:val="24"/>
        </w:rPr>
      </w:pPr>
      <w:r>
        <w:rPr>
          <w:rFonts w:ascii="Times New Roman" w:hAnsi="Times New Roman"/>
          <w:b/>
          <w:i/>
          <w:color w:val="000000"/>
          <w:sz w:val="24"/>
        </w:rPr>
        <w:t>NOTE 5 – OTHER INTANGIBLE ASSETS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following table analyzes other intangible assets movements in the year:</w:t>
      </w:r>
    </w:p>
    <w:p>
      <w:pPr>
        <w:pStyle w:val="TextBody"/>
        <w:bidi w:val="0"/>
        <w:jc w:val="left"/>
        <w:rPr/>
      </w:pPr>
      <w:r>
        <w:rPr/>
        <w:t> </w:t>
      </w:r>
    </w:p>
    <w:tbl>
      <w:tblPr>
        <w:tblW w:w="4500" w:type="dxa"/>
        <w:jc w:val="left"/>
        <w:tblInd w:w="0" w:type="dxa"/>
        <w:tblLayout w:type="fixed"/>
        <w:tblCellMar>
          <w:top w:w="28" w:type="dxa"/>
          <w:left w:w="28" w:type="dxa"/>
          <w:bottom w:w="28" w:type="dxa"/>
          <w:right w:w="28" w:type="dxa"/>
        </w:tblCellMar>
      </w:tblPr>
      <w:tblGrid>
        <w:gridCol w:w="3301"/>
        <w:gridCol w:w="146"/>
        <w:gridCol w:w="211"/>
        <w:gridCol w:w="631"/>
        <w:gridCol w:w="21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cost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cost at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effect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amortization at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book amount at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The amortization expense for the six months ended June 30, 2026</w:t>
      </w:r>
      <w:r>
        <w:rPr>
          <w:rFonts w:ascii="Times New Roman" w:hAnsi="Times New Roman"/>
          <w:color w:val="000000"/>
          <w:sz w:val="20"/>
        </w:rPr>
        <w:t xml:space="preserve"> </w:t>
      </w:r>
      <w:r>
        <w:rPr>
          <w:rFonts w:ascii="Times New Roman" w:hAnsi="Times New Roman"/>
          <w:color w:val="000000"/>
          <w:sz w:val="24"/>
        </w:rPr>
        <w:t>was $5.4</w:t>
      </w:r>
      <w:r>
        <w:rPr>
          <w:rFonts w:ascii="Times New Roman" w:hAnsi="Times New Roman"/>
          <w:color w:val="000000"/>
          <w:sz w:val="20"/>
        </w:rPr>
        <w:t xml:space="preserve"> </w:t>
      </w:r>
      <w:r>
        <w:rPr>
          <w:rFonts w:ascii="Times New Roman" w:hAnsi="Times New Roman"/>
          <w:color w:val="000000"/>
          <w:sz w:val="24"/>
        </w:rPr>
        <w:t>million (six months ended June 30, 2025 – $5.9</w:t>
      </w:r>
      <w:r>
        <w:rPr>
          <w:rFonts w:ascii="Times New Roman" w:hAnsi="Times New Roman"/>
          <w:color w:val="000000"/>
          <w:sz w:val="20"/>
        </w:rPr>
        <w:t xml:space="preserve"> </w:t>
      </w:r>
      <w:r>
        <w:rPr>
          <w:rFonts w:ascii="Times New Roman" w:hAnsi="Times New Roman"/>
          <w:color w:val="000000"/>
          <w:sz w:val="24"/>
        </w:rPr>
        <w:t>million).</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In 2026, we have capitalized $5.0 million in relation to the development of our internal-use software for a new Enterprise Resource Planning (“ERP”) system across all our regions. The project is now complete. The expenses capitalized include the acquisition costs for the software as well as the external consultancy costs and the internal employee costs relating to software development.</w:t>
      </w:r>
      <w:r>
        <w:rPr>
          <w:rFonts w:ascii="Times New Roman" w:hAnsi="Times New Roman"/>
          <w:color w:val="000000"/>
          <w:sz w:val="20"/>
        </w:rPr>
        <w:t xml:space="preserve"> </w:t>
      </w:r>
    </w:p>
    <w:p>
      <w:pPr>
        <w:pStyle w:val="TextBody"/>
        <w:bidi w:val="0"/>
        <w:spacing w:before="360" w:after="283"/>
        <w:jc w:val="both"/>
        <w:rPr>
          <w:rFonts w:ascii="Times New Roman" w:hAnsi="Times New Roman"/>
          <w:b/>
          <w:i/>
          <w:color w:val="000000"/>
          <w:sz w:val="24"/>
        </w:rPr>
      </w:pPr>
      <w:r>
        <w:rPr>
          <w:rFonts w:ascii="Times New Roman" w:hAnsi="Times New Roman"/>
          <w:b/>
          <w:i/>
          <w:color w:val="000000"/>
          <w:sz w:val="24"/>
        </w:rPr>
        <w:t>NOTE 6 – PENSION AND POST EMPLOYMENT BENEFITS</w:t>
      </w:r>
    </w:p>
    <w:p>
      <w:pPr>
        <w:pStyle w:val="TextBody"/>
        <w:bidi w:val="0"/>
        <w:spacing w:before="240" w:after="283"/>
        <w:jc w:val="both"/>
        <w:rPr>
          <w:rFonts w:ascii="Times New Roman" w:hAnsi="Times New Roman"/>
          <w:sz w:val="20"/>
        </w:rPr>
      </w:pPr>
      <w:r>
        <w:rPr>
          <w:rFonts w:ascii="Times New Roman" w:hAnsi="Times New Roman"/>
          <w:color w:val="000000"/>
          <w:sz w:val="24"/>
        </w:rPr>
        <w:t>The Company maintains an unfunded defined benefit pension plan covering certain current and former employees in Germany (the “German plan”). The German plan is closed to new entrants and has no assets. As at June 30, 2026, we have recorded a liability of $9.1</w:t>
      </w:r>
      <w:r>
        <w:rPr>
          <w:rFonts w:ascii="Times New Roman" w:hAnsi="Times New Roman"/>
          <w:color w:val="000000"/>
          <w:sz w:val="20"/>
        </w:rPr>
        <w:t xml:space="preserve"> </w:t>
      </w:r>
      <w:r>
        <w:rPr>
          <w:rFonts w:ascii="Times New Roman" w:hAnsi="Times New Roman"/>
          <w:color w:val="000000"/>
          <w:sz w:val="24"/>
        </w:rPr>
        <w:t>million (December 31, 2025 $9.4</w:t>
      </w:r>
      <w:r>
        <w:rPr>
          <w:rFonts w:ascii="Times New Roman" w:hAnsi="Times New Roman"/>
          <w:color w:val="000000"/>
          <w:sz w:val="20"/>
        </w:rPr>
        <w:t xml:space="preserve"> </w:t>
      </w:r>
      <w:r>
        <w:rPr>
          <w:rFonts w:ascii="Times New Roman" w:hAnsi="Times New Roman"/>
          <w:color w:val="000000"/>
          <w:sz w:val="24"/>
        </w:rPr>
        <w:t>million).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net periodic benefit/(cost) is shown in the following table:</w:t>
      </w:r>
    </w:p>
    <w:p>
      <w:pPr>
        <w:pStyle w:val="TextBody"/>
        <w:bidi w:val="0"/>
        <w:jc w:val="left"/>
        <w:rPr/>
      </w:pPr>
      <w:r>
        <w:rPr/>
        <w:t> </w:t>
      </w:r>
    </w:p>
    <w:tbl>
      <w:tblPr>
        <w:tblW w:w="7526" w:type="dxa"/>
        <w:jc w:val="left"/>
        <w:tblInd w:w="0" w:type="dxa"/>
        <w:tblLayout w:type="fixed"/>
        <w:tblCellMar>
          <w:top w:w="28" w:type="dxa"/>
          <w:left w:w="28" w:type="dxa"/>
          <w:bottom w:w="28" w:type="dxa"/>
          <w:right w:w="28" w:type="dxa"/>
        </w:tblCellMar>
      </w:tblPr>
      <w:tblGrid>
        <w:gridCol w:w="3676"/>
        <w:gridCol w:w="146"/>
        <w:gridCol w:w="215"/>
        <w:gridCol w:w="429"/>
        <w:gridCol w:w="169"/>
        <w:gridCol w:w="148"/>
        <w:gridCol w:w="215"/>
        <w:gridCol w:w="429"/>
        <w:gridCol w:w="166"/>
        <w:gridCol w:w="146"/>
        <w:gridCol w:w="211"/>
        <w:gridCol w:w="421"/>
        <w:gridCol w:w="166"/>
        <w:gridCol w:w="146"/>
        <w:gridCol w:w="211"/>
        <w:gridCol w:w="421"/>
        <w:gridCol w:w="21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credit/(cost)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cost on projected benefit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periodic benefit/(cost)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The prior year includes a service cost related to the now closed United Kingdom defined benefit pension scheme. The service cost has been recognized in selling, general and administrative expenses. All other items have been recognized within other income and expense.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In addition, we have obligations for post-employment benefits in some of our other European businesses. As at June 30, 2026, we have recorded a liability of $3.7</w:t>
      </w:r>
      <w:r>
        <w:rPr>
          <w:rFonts w:ascii="Times New Roman" w:hAnsi="Times New Roman"/>
          <w:color w:val="000000"/>
          <w:sz w:val="20"/>
        </w:rPr>
        <w:t xml:space="preserve"> </w:t>
      </w:r>
      <w:r>
        <w:rPr>
          <w:rFonts w:ascii="Times New Roman" w:hAnsi="Times New Roman"/>
          <w:color w:val="000000"/>
          <w:sz w:val="24"/>
        </w:rPr>
        <w:t>million (December 31, 2025</w:t>
      </w:r>
      <w:r>
        <w:rPr>
          <w:rFonts w:ascii="Times New Roman" w:hAnsi="Times New Roman"/>
          <w:color w:val="000000"/>
          <w:sz w:val="20"/>
        </w:rPr>
        <w:t xml:space="preserve"> </w:t>
      </w:r>
      <w:r>
        <w:rPr>
          <w:rFonts w:ascii="Times New Roman" w:hAnsi="Times New Roman"/>
          <w:color w:val="000000"/>
          <w:sz w:val="24"/>
        </w:rPr>
        <w:t>$3.8</w:t>
      </w:r>
      <w:r>
        <w:rPr>
          <w:rFonts w:ascii="Times New Roman" w:hAnsi="Times New Roman"/>
          <w:color w:val="000000"/>
          <w:sz w:val="20"/>
        </w:rPr>
        <w:t xml:space="preserve"> </w:t>
      </w:r>
      <w:r>
        <w:rPr>
          <w:rFonts w:ascii="Times New Roman" w:hAnsi="Times New Roman"/>
          <w:color w:val="000000"/>
          <w:sz w:val="24"/>
        </w:rPr>
        <w:t>million).</w:t>
      </w:r>
    </w:p>
    <w:p>
      <w:pPr>
        <w:pStyle w:val="TextBody"/>
        <w:bidi w:val="0"/>
        <w:spacing w:before="360" w:after="283"/>
        <w:jc w:val="both"/>
        <w:rPr>
          <w:rFonts w:ascii="Times New Roman" w:hAnsi="Times New Roman"/>
          <w:b/>
          <w:i/>
          <w:color w:val="000000"/>
          <w:sz w:val="24"/>
        </w:rPr>
      </w:pPr>
      <w:r>
        <w:rPr>
          <w:rFonts w:ascii="Times New Roman" w:hAnsi="Times New Roman"/>
          <w:b/>
          <w:i/>
          <w:color w:val="000000"/>
          <w:sz w:val="24"/>
        </w:rPr>
        <w:t>NOTE 7 – INCOME TAXES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As of January 1, 2026, the Company had no</w:t>
      </w:r>
      <w:r>
        <w:rPr>
          <w:rFonts w:ascii="Times New Roman" w:hAnsi="Times New Roman"/>
          <w:color w:val="000000"/>
          <w:sz w:val="20"/>
        </w:rPr>
        <w:t xml:space="preserve"> </w:t>
      </w:r>
      <w:r>
        <w:rPr>
          <w:rFonts w:ascii="Times New Roman" w:hAnsi="Times New Roman"/>
          <w:color w:val="000000"/>
          <w:sz w:val="24"/>
        </w:rPr>
        <w:t>unrecognized tax benefits, and there has been no</w:t>
      </w:r>
      <w:r>
        <w:rPr>
          <w:rFonts w:ascii="Times New Roman" w:hAnsi="Times New Roman"/>
          <w:color w:val="000000"/>
          <w:sz w:val="20"/>
        </w:rPr>
        <w:t xml:space="preserve"> </w:t>
      </w:r>
      <w:r>
        <w:rPr>
          <w:rFonts w:ascii="Times New Roman" w:hAnsi="Times New Roman"/>
          <w:color w:val="000000"/>
          <w:sz w:val="24"/>
        </w:rPr>
        <w:t>change in unrecognized tax benefits during the six months ended June 30, 2026. Accordingly, there was no</w:t>
      </w:r>
      <w:r>
        <w:rPr>
          <w:rFonts w:ascii="Times New Roman" w:hAnsi="Times New Roman"/>
          <w:color w:val="000000"/>
          <w:sz w:val="20"/>
        </w:rPr>
        <w:t xml:space="preserve"> </w:t>
      </w:r>
      <w:r>
        <w:rPr>
          <w:rFonts w:ascii="Times New Roman" w:hAnsi="Times New Roman"/>
          <w:color w:val="000000"/>
          <w:sz w:val="24"/>
        </w:rPr>
        <w:t>accrual for uncertain tax positions as of June 30, 2026, and the Company recorded no</w:t>
      </w:r>
      <w:r>
        <w:rPr>
          <w:rFonts w:ascii="Times New Roman" w:hAnsi="Times New Roman"/>
          <w:color w:val="000000"/>
          <w:sz w:val="20"/>
        </w:rPr>
        <w:t xml:space="preserve"> </w:t>
      </w:r>
      <w:r>
        <w:rPr>
          <w:rFonts w:ascii="Times New Roman" w:hAnsi="Times New Roman"/>
          <w:color w:val="000000"/>
          <w:sz w:val="24"/>
        </w:rPr>
        <w:t>associated interest or penalties. The Company does not expect any significant changes to this position over the next twelve months.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As of June 30, 2026, the Company and its U.S. subsidiaries remain open to examination by the IRS for years 2022 onwards under the statute of limitations. The Company’s subsidiaries in foreign tax jurisdictions are open to examination including Brazil (2021 onwards), Germany (2021 onwards), and the U.K. (2024 onwards).</w:t>
      </w:r>
    </w:p>
    <w:p>
      <w:pPr>
        <w:pStyle w:val="TextBody"/>
        <w:bidi w:val="0"/>
        <w:jc w:val="left"/>
        <w:rPr/>
      </w:pPr>
      <w:r>
        <w:rPr/>
        <w:t> </w:t>
      </w:r>
    </w:p>
    <w:p>
      <w:pPr>
        <w:pStyle w:val="TextBody"/>
        <w:bidi w:val="0"/>
        <w:spacing w:before="360" w:after="283"/>
        <w:jc w:val="both"/>
        <w:rPr>
          <w:rFonts w:ascii="Times New Roman" w:hAnsi="Times New Roman"/>
          <w:b/>
          <w:i/>
          <w:color w:val="000000"/>
          <w:sz w:val="24"/>
        </w:rPr>
      </w:pPr>
      <w:r>
        <w:rPr>
          <w:rFonts w:ascii="Times New Roman" w:hAnsi="Times New Roman"/>
          <w:b/>
          <w:i/>
          <w:color w:val="000000"/>
          <w:sz w:val="24"/>
        </w:rPr>
        <w:t>NOTE 8 – LONG-TERM DEBT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As at June 30, 2026, and December 31, 2025, the Company had not drawn down on its revolving credit facility. During the three and six months ended June 30, 2026 and 2025, the Company did not draw down or repay any borrowing on its revolving credit facility.</w:t>
      </w:r>
    </w:p>
    <w:p>
      <w:pPr>
        <w:pStyle w:val="TextBody"/>
        <w:bidi w:val="0"/>
        <w:spacing w:before="120" w:after="283"/>
        <w:jc w:val="both"/>
        <w:rPr>
          <w:rFonts w:ascii="Times New Roman" w:hAnsi="Times New Roman"/>
          <w:sz w:val="20"/>
        </w:rPr>
      </w:pPr>
      <w:r>
        <w:rPr>
          <w:rFonts w:ascii="Times New Roman" w:hAnsi="Times New Roman"/>
          <w:color w:val="000000"/>
          <w:sz w:val="24"/>
        </w:rPr>
        <w:t>The Company continues to have available a $250.0</w:t>
      </w:r>
      <w:r>
        <w:rPr>
          <w:rFonts w:ascii="Times New Roman" w:hAnsi="Times New Roman"/>
          <w:color w:val="000000"/>
          <w:sz w:val="20"/>
        </w:rPr>
        <w:t xml:space="preserve"> </w:t>
      </w:r>
      <w:r>
        <w:rPr>
          <w:rFonts w:ascii="Times New Roman" w:hAnsi="Times New Roman"/>
          <w:color w:val="000000"/>
          <w:sz w:val="24"/>
        </w:rPr>
        <w:t>million multicurrency revolving credit facility until May 30, 2028.</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4"/>
        </w:rPr>
      </w:pPr>
      <w:r>
        <w:rPr>
          <w:rFonts w:ascii="Times New Roman" w:hAnsi="Times New Roman"/>
          <w:b/>
          <w:i/>
          <w:color w:val="000000"/>
          <w:sz w:val="24"/>
        </w:rPr>
        <w:t>NOTE 9 – PLANT CLOSURE PROVISIONS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has continuing plans to remediate manufacturing facilities at sites around the world as and when those operations are expected to cease, or we are required to decommission the sites according to local laws and regulations. The liability for the estimated plant closure costs includes costs for asset retirement obligations and environmental remediation liabilities.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principal site giving rise to asset retirement obligations is the manufacturing site at Ellesmere Port in the U.K.. There are also asset retirement obligations and environmental remediation liabilities in respect of our other manufacturing sites, which are relatively insignificant.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Movements in the provisions are summarized as follows:</w:t>
      </w:r>
    </w:p>
    <w:p>
      <w:pPr>
        <w:pStyle w:val="TextBody"/>
        <w:bidi w:val="0"/>
        <w:jc w:val="left"/>
        <w:rPr/>
      </w:pPr>
      <w:r>
        <w:rPr/>
        <w:t> </w:t>
      </w:r>
    </w:p>
    <w:tbl>
      <w:tblPr>
        <w:tblW w:w="2895" w:type="dxa"/>
        <w:jc w:val="left"/>
        <w:tblInd w:w="0" w:type="dxa"/>
        <w:tblLayout w:type="fixed"/>
        <w:tblCellMar>
          <w:top w:w="28" w:type="dxa"/>
          <w:left w:w="28" w:type="dxa"/>
          <w:bottom w:w="28" w:type="dxa"/>
          <w:right w:w="28" w:type="dxa"/>
        </w:tblCellMar>
      </w:tblPr>
      <w:tblGrid>
        <w:gridCol w:w="1861"/>
        <w:gridCol w:w="146"/>
        <w:gridCol w:w="211"/>
        <w:gridCol w:w="466"/>
        <w:gridCol w:w="21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at January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Charge for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Utilized in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at June 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The charge for the six months ended June 30, 2026, was $3.2</w:t>
      </w:r>
      <w:r>
        <w:rPr>
          <w:rFonts w:ascii="Times New Roman" w:hAnsi="Times New Roman"/>
          <w:color w:val="000000"/>
          <w:sz w:val="20"/>
        </w:rPr>
        <w:t xml:space="preserve"> </w:t>
      </w:r>
      <w:r>
        <w:rPr>
          <w:rFonts w:ascii="Times New Roman" w:hAnsi="Times New Roman"/>
          <w:color w:val="000000"/>
          <w:sz w:val="24"/>
        </w:rPr>
        <w:t>million (six months ended June 30, 2025 $4.1</w:t>
      </w:r>
      <w:r>
        <w:rPr>
          <w:rFonts w:ascii="Times New Roman" w:hAnsi="Times New Roman"/>
          <w:color w:val="000000"/>
          <w:sz w:val="20"/>
        </w:rPr>
        <w:t xml:space="preserve"> </w:t>
      </w:r>
      <w:r>
        <w:rPr>
          <w:rFonts w:ascii="Times New Roman" w:hAnsi="Times New Roman"/>
          <w:color w:val="000000"/>
          <w:sz w:val="24"/>
        </w:rPr>
        <w:t>million). The current year charge represents the accounting accretion and a $1.4</w:t>
      </w:r>
      <w:r>
        <w:rPr>
          <w:rFonts w:ascii="Times New Roman" w:hAnsi="Times New Roman"/>
          <w:color w:val="000000"/>
          <w:sz w:val="20"/>
        </w:rPr>
        <w:t xml:space="preserve"> </w:t>
      </w:r>
      <w:r>
        <w:rPr>
          <w:rFonts w:ascii="Times New Roman" w:hAnsi="Times New Roman"/>
          <w:color w:val="000000"/>
          <w:sz w:val="24"/>
        </w:rPr>
        <w:t>million increase to the provisions for legacy operations in the United Kingdom. Amounts due within one year refer to provisions where expenditure is expected to arise within one year of the balance sheet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4"/>
        </w:rPr>
      </w:pPr>
      <w:r>
        <w:rPr>
          <w:rFonts w:ascii="Times New Roman" w:hAnsi="Times New Roman"/>
          <w:b/>
          <w:i/>
          <w:color w:val="000000"/>
          <w:sz w:val="24"/>
        </w:rPr>
        <w:t>NOTE 10 – FAIR VALUE MEASUREMENTS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following table presents the carrying amount and fair values of the Company’s financial assets and liabilities measured on a recurring basis:</w:t>
      </w:r>
    </w:p>
    <w:p>
      <w:pPr>
        <w:pStyle w:val="TextBody"/>
        <w:bidi w:val="0"/>
        <w:jc w:val="left"/>
        <w:rPr/>
      </w:pPr>
      <w:r>
        <w:rPr/>
        <w:t> </w:t>
      </w:r>
    </w:p>
    <w:tbl>
      <w:tblPr>
        <w:tblW w:w="8180" w:type="dxa"/>
        <w:jc w:val="left"/>
        <w:tblInd w:w="0" w:type="dxa"/>
        <w:tblLayout w:type="fixed"/>
        <w:tblCellMar>
          <w:top w:w="28" w:type="dxa"/>
          <w:left w:w="28" w:type="dxa"/>
          <w:bottom w:w="28" w:type="dxa"/>
          <w:right w:w="28" w:type="dxa"/>
        </w:tblCellMar>
      </w:tblPr>
      <w:tblGrid>
        <w:gridCol w:w="4156"/>
        <w:gridCol w:w="146"/>
        <w:gridCol w:w="224"/>
        <w:gridCol w:w="557"/>
        <w:gridCol w:w="146"/>
        <w:gridCol w:w="146"/>
        <w:gridCol w:w="151"/>
        <w:gridCol w:w="375"/>
        <w:gridCol w:w="146"/>
        <w:gridCol w:w="146"/>
        <w:gridCol w:w="224"/>
        <w:gridCol w:w="557"/>
        <w:gridCol w:w="167"/>
        <w:gridCol w:w="167"/>
        <w:gridCol w:w="167"/>
        <w:gridCol w:w="414"/>
        <w:gridCol w:w="2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Amount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Derivatives (Level 1 measurement):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and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Emissions Trading Scheme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currency forward exchange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and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Non-financial liabilities (Level 3 measurement):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Acquisition-related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following methods and assumptions were used to estimate the fair values:</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Emissions Trading Scheme credits: </w:t>
      </w:r>
      <w:r>
        <w:rPr>
          <w:rFonts w:ascii="Times New Roman" w:hAnsi="Times New Roman"/>
          <w:color w:val="000000"/>
          <w:sz w:val="24"/>
        </w:rPr>
        <w:t>The fair value is determined by the open market pricing at the end of the reporting period.</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Foreign currency forward exchange contracts: </w:t>
      </w:r>
      <w:r>
        <w:rPr>
          <w:rFonts w:ascii="Times New Roman" w:hAnsi="Times New Roman"/>
          <w:color w:val="000000"/>
          <w:sz w:val="24"/>
        </w:rPr>
        <w:t>The fair value of derivatives relating to foreign currency forward exchange contracts are derived from current settlement prices and comparable contracts using current assumptions. Foreign currency forward exchange contracts primarily relate to contracts entered into to hedge future known transactions or hedge balance sheet net cash positions. The movements in the carrying amounts and fair values of these contracts are largely due to changes in exchange rates against the U.S. dollar.</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Acquisition-related contingent consideration: </w:t>
      </w:r>
      <w:r>
        <w:rPr>
          <w:rFonts w:ascii="Times New Roman" w:hAnsi="Times New Roman"/>
          <w:color w:val="000000"/>
          <w:sz w:val="24"/>
        </w:rPr>
        <w:t>Contingent consideration payable in cash is discounted to its fair value at each balance sheet date. Where contingent consideration is dependent upon pre-determined financial targets, an estimate of the fair value of the likely consideration payable is made at each balance sheet date. The contingent consideration payable has been calculated based on the latest forecast. The movement in the current year relates to a $4.9</w:t>
      </w:r>
      <w:r>
        <w:rPr>
          <w:rFonts w:ascii="Times New Roman" w:hAnsi="Times New Roman"/>
          <w:color w:val="000000"/>
          <w:sz w:val="20"/>
        </w:rPr>
        <w:t xml:space="preserve"> </w:t>
      </w:r>
      <w:r>
        <w:rPr>
          <w:rFonts w:ascii="Times New Roman" w:hAnsi="Times New Roman"/>
          <w:color w:val="000000"/>
          <w:sz w:val="24"/>
        </w:rPr>
        <w:t>million reduction in the fair value of the expected payable relating to the acquisition of QGP Química Geral (“QGP”), partially offset by an accretion charge of $0.3</w:t>
      </w:r>
      <w:r>
        <w:rPr>
          <w:rFonts w:ascii="Times New Roman" w:hAnsi="Times New Roman"/>
          <w:color w:val="000000"/>
          <w:sz w:val="20"/>
        </w:rPr>
        <w:t xml:space="preserve"> </w:t>
      </w:r>
      <w:r>
        <w:rPr>
          <w:rFonts w:ascii="Times New Roman" w:hAnsi="Times New Roman"/>
          <w:color w:val="000000"/>
          <w:sz w:val="24"/>
        </w:rPr>
        <w:t>million and the impact of foreign exchange of $0.4</w:t>
      </w:r>
      <w:r>
        <w:rPr>
          <w:rFonts w:ascii="Times New Roman" w:hAnsi="Times New Roman"/>
          <w:color w:val="000000"/>
          <w:sz w:val="20"/>
        </w:rPr>
        <w:t xml:space="preserve"> </w:t>
      </w:r>
      <w:r>
        <w:rPr>
          <w:rFonts w:ascii="Times New Roman" w:hAnsi="Times New Roman"/>
          <w:color w:val="000000"/>
          <w:sz w:val="24"/>
        </w:rPr>
        <w:t>million.</w:t>
      </w:r>
    </w:p>
    <w:p>
      <w:pPr>
        <w:pStyle w:val="TextBody"/>
        <w:bidi w:val="0"/>
        <w:spacing w:before="360" w:after="283"/>
        <w:jc w:val="both"/>
        <w:rPr>
          <w:rFonts w:ascii="Times New Roman" w:hAnsi="Times New Roman"/>
          <w:b/>
          <w:i/>
          <w:color w:val="000000"/>
          <w:sz w:val="24"/>
        </w:rPr>
      </w:pPr>
      <w:r>
        <w:rPr>
          <w:rFonts w:ascii="Times New Roman" w:hAnsi="Times New Roman"/>
          <w:b/>
          <w:i/>
          <w:color w:val="000000"/>
          <w:sz w:val="24"/>
        </w:rPr>
        <w:t>NOTE 11 – DERIVATIVE INSTRUMENTS AND RISK MANAGEMENT</w:t>
      </w:r>
    </w:p>
    <w:p>
      <w:pPr>
        <w:pStyle w:val="TextBody"/>
        <w:bidi w:val="0"/>
        <w:spacing w:before="120" w:after="283"/>
        <w:jc w:val="both"/>
        <w:rPr>
          <w:rFonts w:ascii="Times New Roman" w:hAnsi="Times New Roman"/>
          <w:sz w:val="20"/>
        </w:rPr>
      </w:pPr>
      <w:r>
        <w:rPr>
          <w:rFonts w:ascii="Times New Roman" w:hAnsi="Times New Roman"/>
          <w:color w:val="000000"/>
          <w:sz w:val="24"/>
        </w:rPr>
        <w:t>The Company enters into various foreign currency forward exchange contracts to minimize currency exchange rate exposure from expected future cash flows. As at June 30, 2026, the contracts have maturity dates of up to two years at the date of inception. These foreign currency forward exchange contracts have not been designated as hedging instruments, and their impact on the income statement for the six months ended June 30, 2026 was a loss</w:t>
      </w:r>
      <w:r>
        <w:rPr>
          <w:rFonts w:ascii="Times New Roman" w:hAnsi="Times New Roman"/>
          <w:color w:val="000000"/>
          <w:sz w:val="20"/>
        </w:rPr>
        <w:t xml:space="preserve"> </w:t>
      </w:r>
      <w:r>
        <w:rPr>
          <w:rFonts w:ascii="Times New Roman" w:hAnsi="Times New Roman"/>
          <w:color w:val="000000"/>
          <w:sz w:val="24"/>
        </w:rPr>
        <w:t>of $1.1</w:t>
      </w:r>
      <w:r>
        <w:rPr>
          <w:rFonts w:ascii="Times New Roman" w:hAnsi="Times New Roman"/>
          <w:color w:val="000000"/>
          <w:sz w:val="20"/>
        </w:rPr>
        <w:t xml:space="preserve"> </w:t>
      </w:r>
      <w:r>
        <w:rPr>
          <w:rFonts w:ascii="Times New Roman" w:hAnsi="Times New Roman"/>
          <w:color w:val="000000"/>
          <w:sz w:val="24"/>
        </w:rPr>
        <w:t>million (six months ended June 30, 2025 a loss</w:t>
      </w:r>
      <w:r>
        <w:rPr>
          <w:rFonts w:ascii="Times New Roman" w:hAnsi="Times New Roman"/>
          <w:color w:val="000000"/>
          <w:sz w:val="20"/>
        </w:rPr>
        <w:t xml:space="preserve"> </w:t>
      </w:r>
      <w:r>
        <w:rPr>
          <w:rFonts w:ascii="Times New Roman" w:hAnsi="Times New Roman"/>
          <w:color w:val="000000"/>
          <w:sz w:val="24"/>
        </w:rPr>
        <w:t>of $6.4</w:t>
      </w:r>
      <w:r>
        <w:rPr>
          <w:rFonts w:ascii="Times New Roman" w:hAnsi="Times New Roman"/>
          <w:color w:val="000000"/>
          <w:sz w:val="20"/>
        </w:rPr>
        <w:t xml:space="preserve"> </w:t>
      </w:r>
      <w:r>
        <w:rPr>
          <w:rFonts w:ascii="Times New Roman" w:hAnsi="Times New Roman"/>
          <w:color w:val="000000"/>
          <w:sz w:val="24"/>
        </w:rPr>
        <w:t>million). The gain or loss has been recorded in other income or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4"/>
        </w:rPr>
      </w:pPr>
      <w:r>
        <w:rPr>
          <w:rFonts w:ascii="Times New Roman" w:hAnsi="Times New Roman"/>
          <w:b/>
          <w:i/>
          <w:color w:val="000000"/>
          <w:sz w:val="24"/>
        </w:rPr>
        <w:t>NOTE 12 – CONTINGENCIES</w:t>
      </w:r>
    </w:p>
    <w:p>
      <w:pPr>
        <w:pStyle w:val="TextBody"/>
        <w:bidi w:val="0"/>
        <w:spacing w:before="120" w:after="283"/>
        <w:jc w:val="both"/>
        <w:rPr>
          <w:rFonts w:ascii="Times New Roman" w:hAnsi="Times New Roman"/>
          <w:sz w:val="20"/>
        </w:rPr>
      </w:pPr>
      <w:r>
        <w:rPr>
          <w:rFonts w:ascii="Times New Roman" w:hAnsi="Times New Roman"/>
          <w:color w:val="000000"/>
          <w:sz w:val="24"/>
          <w:u w:val="single"/>
        </w:rPr>
        <w:t>Le</w:t>
      </w:r>
      <w:r>
        <w:rPr>
          <w:rFonts w:ascii="Times New Roman" w:hAnsi="Times New Roman"/>
          <w:color w:val="000000"/>
          <w:sz w:val="24"/>
        </w:rPr>
        <w:t>g</w:t>
      </w:r>
      <w:r>
        <w:rPr>
          <w:rFonts w:ascii="Times New Roman" w:hAnsi="Times New Roman"/>
          <w:color w:val="000000"/>
          <w:sz w:val="24"/>
          <w:u w:val="single"/>
        </w:rPr>
        <w:t>al matters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We are involved from time to time in claims and legal proceedings that result from, and are incidental to, the conduct of our business including business and commercial litigation, and employee and product liability claims.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As reported in our Annual Report on Form 10-K for the year ended December 31, 2023 (the “2023 Form 10-K"), we have incurred financial losses and lodged a civil and criminal legal claim related to a misappropriation of inventory in Brazil. At the time of filing, there have been no significant developments to report in relation to the claims being made. Consistent with prior quarters, a corresponding asset for the potential legal or insurance recoveries has not been recorded for the resulting financial losses arising from this matter.</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In addition, unrelated to the Brazil matter, in the unlikely event there are an unexpectedly large number of individual claims or proceedings with an adverse resolution, this could in the aggregate have a material adverse effect on the results of operations for a particular year or quarter.</w:t>
      </w:r>
    </w:p>
    <w:p>
      <w:pPr>
        <w:pStyle w:val="TextBody"/>
        <w:bidi w:val="0"/>
        <w:spacing w:before="360" w:after="283"/>
        <w:jc w:val="both"/>
        <w:rPr>
          <w:rFonts w:ascii="Times New Roman" w:hAnsi="Times New Roman"/>
          <w:color w:val="000000"/>
          <w:sz w:val="24"/>
          <w:u w:val="single"/>
        </w:rPr>
      </w:pPr>
      <w:r>
        <w:rPr>
          <w:rFonts w:ascii="Times New Roman" w:hAnsi="Times New Roman"/>
          <w:color w:val="000000"/>
          <w:sz w:val="24"/>
          <w:u w:val="single"/>
        </w:rPr>
        <w:t>Guarantees</w:t>
      </w:r>
    </w:p>
    <w:p>
      <w:pPr>
        <w:pStyle w:val="TextBody"/>
        <w:bidi w:val="0"/>
        <w:spacing w:before="120" w:after="283"/>
        <w:jc w:val="both"/>
        <w:rPr>
          <w:rFonts w:ascii="Times New Roman" w:hAnsi="Times New Roman"/>
          <w:sz w:val="20"/>
        </w:rPr>
      </w:pPr>
      <w:r>
        <w:rPr>
          <w:rFonts w:ascii="Times New Roman" w:hAnsi="Times New Roman"/>
          <w:color w:val="000000"/>
          <w:sz w:val="24"/>
        </w:rPr>
        <w:t>The Company and certain of the Company’s consolidated subsidiaries are contingently liable for certain obligations of affiliated companies primarily in the form of guarantees of debt and performance under contracts entered into as a normal business practice. This includes guarantees of non-U.S. excise taxes and customs duties. As at June 30, 2026, such guarantees, which are not recognized as liabilities in the condensed consolidated financial statements, amounted to $5.9</w:t>
      </w:r>
      <w:r>
        <w:rPr>
          <w:rFonts w:ascii="Times New Roman" w:hAnsi="Times New Roman"/>
          <w:color w:val="000000"/>
          <w:sz w:val="20"/>
        </w:rPr>
        <w:t xml:space="preserve"> </w:t>
      </w:r>
      <w:r>
        <w:rPr>
          <w:rFonts w:ascii="Times New Roman" w:hAnsi="Times New Roman"/>
          <w:color w:val="000000"/>
          <w:sz w:val="24"/>
        </w:rPr>
        <w:t>million (December 31, 2025 $6.0</w:t>
      </w:r>
      <w:r>
        <w:rPr>
          <w:rFonts w:ascii="Times New Roman" w:hAnsi="Times New Roman"/>
          <w:color w:val="000000"/>
          <w:sz w:val="20"/>
        </w:rPr>
        <w:t xml:space="preserve"> </w:t>
      </w:r>
      <w:r>
        <w:rPr>
          <w:rFonts w:ascii="Times New Roman" w:hAnsi="Times New Roman"/>
          <w:color w:val="000000"/>
          <w:sz w:val="24"/>
        </w:rPr>
        <w:t>million). The remaining terms of the fixed maturity guarantees are up to 6</w:t>
      </w:r>
      <w:r>
        <w:rPr>
          <w:rFonts w:ascii="Times New Roman" w:hAnsi="Times New Roman"/>
          <w:color w:val="000000"/>
          <w:sz w:val="20"/>
        </w:rPr>
        <w:t xml:space="preserve"> </w:t>
      </w:r>
      <w:r>
        <w:rPr>
          <w:rFonts w:ascii="Times New Roman" w:hAnsi="Times New Roman"/>
          <w:color w:val="000000"/>
          <w:sz w:val="24"/>
        </w:rPr>
        <w:t>years, with some further guarantees having no fixed expiry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Under the terms of the guarantee arrangements, generally the Company would be required to perform the obligations should the affiliated company fail to fulfill its obligations under the arrangements. In some cases, the guarantee arrangements have recourse provisions that would enable the Company to recover any payments made under the terms of the guarantees from securities held of the guaranteed parties’ assets.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and its affiliates have numerous long-term sales and purchase commitments in their various business activities, which are expected to be fulfilled with no adverse consequences material to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4"/>
        </w:rPr>
      </w:pPr>
      <w:r>
        <w:rPr>
          <w:rFonts w:ascii="Times New Roman" w:hAnsi="Times New Roman"/>
          <w:b/>
          <w:i/>
          <w:color w:val="000000"/>
          <w:sz w:val="24"/>
        </w:rPr>
        <w:t>NOTE 13 – STOCK-BASED COMPENSATION PLANS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following table summarizes the transactions of the Company’s share-based compensation for 2026 and 2025:</w:t>
      </w:r>
    </w:p>
    <w:p>
      <w:pPr>
        <w:pStyle w:val="TextBody"/>
        <w:bidi w:val="0"/>
        <w:spacing w:before="120" w:after="283"/>
        <w:jc w:val="both"/>
        <w:rPr/>
      </w:pPr>
      <w:r>
        <w:rPr/>
        <w:t> </w:t>
      </w:r>
    </w:p>
    <w:tbl>
      <w:tblPr>
        <w:tblW w:w="5618" w:type="dxa"/>
        <w:jc w:val="left"/>
        <w:tblInd w:w="0" w:type="dxa"/>
        <w:tblLayout w:type="fixed"/>
        <w:tblCellMar>
          <w:top w:w="28" w:type="dxa"/>
          <w:left w:w="28" w:type="dxa"/>
          <w:bottom w:w="28" w:type="dxa"/>
          <w:right w:w="28" w:type="dxa"/>
        </w:tblCellMar>
      </w:tblPr>
      <w:tblGrid>
        <w:gridCol w:w="1951"/>
        <w:gridCol w:w="146"/>
        <w:gridCol w:w="235"/>
        <w:gridCol w:w="403"/>
        <w:gridCol w:w="163"/>
        <w:gridCol w:w="163"/>
        <w:gridCol w:w="235"/>
        <w:gridCol w:w="403"/>
        <w:gridCol w:w="146"/>
        <w:gridCol w:w="146"/>
        <w:gridCol w:w="211"/>
        <w:gridCol w:w="361"/>
        <w:gridCol w:w="146"/>
        <w:gridCol w:w="146"/>
        <w:gridCol w:w="211"/>
        <w:gridCol w:w="36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equivalent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table summarizes the transactions of the Company’s share-based compensation plans for the six months ended June 30, 2026.</w:t>
      </w:r>
    </w:p>
    <w:p>
      <w:pPr>
        <w:pStyle w:val="TextBody"/>
        <w:bidi w:val="0"/>
        <w:jc w:val="left"/>
        <w:rPr/>
      </w:pPr>
      <w:r>
        <w:rPr/>
        <w:t> </w:t>
      </w:r>
    </w:p>
    <w:tbl>
      <w:tblPr>
        <w:tblW w:w="5343" w:type="dxa"/>
        <w:jc w:val="left"/>
        <w:tblInd w:w="0" w:type="dxa"/>
        <w:tblLayout w:type="fixed"/>
        <w:tblCellMar>
          <w:top w:w="28" w:type="dxa"/>
          <w:left w:w="28" w:type="dxa"/>
          <w:bottom w:w="28" w:type="dxa"/>
          <w:right w:w="28" w:type="dxa"/>
        </w:tblCellMar>
      </w:tblPr>
      <w:tblGrid>
        <w:gridCol w:w="2806"/>
        <w:gridCol w:w="146"/>
        <w:gridCol w:w="146"/>
        <w:gridCol w:w="781"/>
        <w:gridCol w:w="166"/>
        <w:gridCol w:w="146"/>
        <w:gridCol w:w="259"/>
        <w:gridCol w:w="702"/>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For the awards granted with market conditions, a Monte Carlo model has been used to calculate the grant-date fair value. For all other awards granted, a fair market value methodology has been used to calculate the grant-date fair value.</w:t>
      </w:r>
    </w:p>
    <w:p>
      <w:pPr>
        <w:pStyle w:val="TextBody"/>
        <w:bidi w:val="0"/>
        <w:jc w:val="both"/>
        <w:rPr>
          <w:rFonts w:ascii="Times New Roman" w:hAnsi="Times New Roman"/>
          <w:sz w:val="20"/>
        </w:rPr>
      </w:pPr>
      <w:r>
        <w:rPr>
          <w:rFonts w:ascii="Times New Roman" w:hAnsi="Times New Roman"/>
          <w:color w:val="000000"/>
          <w:sz w:val="24"/>
        </w:rPr>
        <w:t>The awards granted with market and non-market conditions include performance measures that can result in a maximum 200% vesting for the number of stock options granted. The predicted vesting has been reflected in the grant-date fair value calculation, but has not been reflected for the number of awards granted, as shown in the table above.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As of June 30, 2026, there was $26.0</w:t>
      </w:r>
      <w:r>
        <w:rPr>
          <w:rFonts w:ascii="Times New Roman" w:hAnsi="Times New Roman"/>
          <w:color w:val="000000"/>
          <w:sz w:val="20"/>
        </w:rPr>
        <w:t xml:space="preserve"> </w:t>
      </w:r>
      <w:r>
        <w:rPr>
          <w:rFonts w:ascii="Times New Roman" w:hAnsi="Times New Roman"/>
          <w:color w:val="000000"/>
          <w:sz w:val="24"/>
        </w:rPr>
        <w:t>million of total unrecognized compensation cost related to nonvested share-based compensation arrangements. That cost is expected to be recognized over a weighted-average period of 2.1</w:t>
      </w:r>
      <w:r>
        <w:rPr>
          <w:rFonts w:ascii="Times New Roman" w:hAnsi="Times New Roman"/>
          <w:color w:val="000000"/>
          <w:sz w:val="20"/>
        </w:rPr>
        <w:t xml:space="preserve"> </w:t>
      </w:r>
      <w:r>
        <w:rPr>
          <w:rFonts w:ascii="Times New Roman" w:hAnsi="Times New Roman"/>
          <w:color w:val="000000"/>
          <w:sz w:val="24"/>
        </w:rPr>
        <w:t>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i/>
          <w:color w:val="000000"/>
          <w:sz w:val="24"/>
        </w:rPr>
      </w:pPr>
      <w:r>
        <w:rPr>
          <w:rFonts w:ascii="Times New Roman" w:hAnsi="Times New Roman"/>
          <w:b/>
          <w:i/>
          <w:color w:val="000000"/>
          <w:sz w:val="24"/>
        </w:rPr>
        <w:t>NOTE 14 – RECLASSIFICATIONS OUT OF ACCUMULATED OTHER COMPREHENSIVE LOSS</w:t>
      </w:r>
    </w:p>
    <w:p>
      <w:pPr>
        <w:pStyle w:val="TextBody"/>
        <w:bidi w:val="0"/>
        <w:spacing w:before="120" w:after="283"/>
        <w:jc w:val="both"/>
        <w:rPr>
          <w:rFonts w:ascii="Times New Roman" w:hAnsi="Times New Roman"/>
          <w:sz w:val="20"/>
        </w:rPr>
      </w:pPr>
      <w:r>
        <w:rPr>
          <w:rFonts w:ascii="Times New Roman" w:hAnsi="Times New Roman"/>
          <w:color w:val="000000"/>
          <w:sz w:val="24"/>
        </w:rPr>
        <w:t>There were no</w:t>
      </w:r>
      <w:r>
        <w:rPr>
          <w:rFonts w:ascii="Times New Roman" w:hAnsi="Times New Roman"/>
          <w:color w:val="000000"/>
          <w:sz w:val="20"/>
        </w:rPr>
        <w:t xml:space="preserve"> </w:t>
      </w:r>
      <w:r>
        <w:rPr>
          <w:rFonts w:ascii="Times New Roman" w:hAnsi="Times New Roman"/>
          <w:color w:val="000000"/>
          <w:sz w:val="24"/>
        </w:rPr>
        <w:t>reclassifications out of accumulated other comprehensive loss (“AOCL”) for the six months ended June 30, 2026.</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Changes in AOCL for the six months ended June 30, 2026, net of tax, were:</w:t>
      </w:r>
    </w:p>
    <w:p>
      <w:pPr>
        <w:pStyle w:val="TextBody"/>
        <w:bidi w:val="0"/>
        <w:jc w:val="both"/>
        <w:rPr/>
      </w:pPr>
      <w:r>
        <w:rPr/>
        <w:t> </w:t>
      </w:r>
    </w:p>
    <w:tbl>
      <w:tblPr>
        <w:tblW w:w="8465" w:type="dxa"/>
        <w:jc w:val="left"/>
        <w:tblInd w:w="0" w:type="dxa"/>
        <w:tblLayout w:type="fixed"/>
        <w:tblCellMar>
          <w:top w:w="28" w:type="dxa"/>
          <w:left w:w="28" w:type="dxa"/>
          <w:bottom w:w="28" w:type="dxa"/>
          <w:right w:w="28" w:type="dxa"/>
        </w:tblCellMar>
      </w:tblPr>
      <w:tblGrid>
        <w:gridCol w:w="4891"/>
        <w:gridCol w:w="146"/>
        <w:gridCol w:w="320"/>
        <w:gridCol w:w="550"/>
        <w:gridCol w:w="146"/>
        <w:gridCol w:w="146"/>
        <w:gridCol w:w="288"/>
        <w:gridCol w:w="718"/>
        <w:gridCol w:w="166"/>
        <w:gridCol w:w="146"/>
        <w:gridCol w:w="211"/>
        <w:gridCol w:w="526"/>
        <w:gridCol w:w="21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Defined</w:t>
              <w:br/>
              <w:t>Benefit</w:t>
              <w:br/>
              <w:t>Pension</w:t>
              <w:br/>
              <w:t>Plan Items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There were no</w:t>
      </w:r>
      <w:r>
        <w:rPr>
          <w:rFonts w:ascii="Times New Roman" w:hAnsi="Times New Roman"/>
          <w:color w:val="000000"/>
          <w:sz w:val="20"/>
        </w:rPr>
        <w:t xml:space="preserve"> </w:t>
      </w:r>
      <w:r>
        <w:rPr>
          <w:rFonts w:ascii="Times New Roman" w:hAnsi="Times New Roman"/>
          <w:color w:val="000000"/>
          <w:sz w:val="24"/>
        </w:rPr>
        <w:t>reclassifications out of AOCL for the six months ended June 30, 2025.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Changes in AOCL for the six months ended June 30, 2025, net of tax, were:</w:t>
      </w:r>
    </w:p>
    <w:p>
      <w:pPr>
        <w:pStyle w:val="TextBody"/>
        <w:bidi w:val="0"/>
        <w:jc w:val="both"/>
        <w:rPr/>
      </w:pPr>
      <w:r>
        <w:rPr/>
        <w:t> </w:t>
      </w:r>
    </w:p>
    <w:tbl>
      <w:tblPr>
        <w:tblW w:w="8465" w:type="dxa"/>
        <w:jc w:val="left"/>
        <w:tblInd w:w="0" w:type="dxa"/>
        <w:tblLayout w:type="fixed"/>
        <w:tblCellMar>
          <w:top w:w="28" w:type="dxa"/>
          <w:left w:w="28" w:type="dxa"/>
          <w:bottom w:w="28" w:type="dxa"/>
          <w:right w:w="28" w:type="dxa"/>
        </w:tblCellMar>
      </w:tblPr>
      <w:tblGrid>
        <w:gridCol w:w="4891"/>
        <w:gridCol w:w="146"/>
        <w:gridCol w:w="329"/>
        <w:gridCol w:w="541"/>
        <w:gridCol w:w="146"/>
        <w:gridCol w:w="146"/>
        <w:gridCol w:w="288"/>
        <w:gridCol w:w="718"/>
        <w:gridCol w:w="166"/>
        <w:gridCol w:w="146"/>
        <w:gridCol w:w="211"/>
        <w:gridCol w:w="526"/>
        <w:gridCol w:w="21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Defined</w:t>
              <w:br/>
              <w:t>Benefit</w:t>
              <w:br/>
              <w:t>Pension</w:t>
              <w:br/>
              <w:t>Plan Items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Cumulative</w:t>
              <w:br/>
              <w:t>Translation</w:t>
              <w:b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income/(loss) before reclassifications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reclassified from AOCL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income/(loss)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4"/>
        </w:rPr>
      </w:pPr>
      <w:r>
        <w:rPr>
          <w:rFonts w:ascii="Times New Roman" w:hAnsi="Times New Roman"/>
          <w:b/>
          <w:i/>
          <w:color w:val="000000"/>
          <w:sz w:val="24"/>
        </w:rPr>
        <w:t>NOTE 15 – RECENTLY ISSUED ACCOUNTING PRONOUNCEMENTS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May 2026, the Financial Accounting Standards Board issued Accounting Standards Update (ASU) No. 20264-01, Environmental Credits and Environmental Credit Obligations (Topic 818). The amendments in this ASU require disclosure on the balance sheet and within the notes to the financial statements, of specified information about environmental credits and associated obligations. The ASU is effective for annual reporting periods beginning after December 15, 2027, and interim reporting periods beginning after December 15, 2027. Early adoption is permitted. We expect the adoption of this ASU will impact the Company’s current accounting methodology and disclosures, however we do not expect the impact to be material.</w:t>
      </w:r>
    </w:p>
    <w:p>
      <w:pPr>
        <w:pStyle w:val="TextBody"/>
        <w:bidi w:val="0"/>
        <w:spacing w:before="120" w:after="283"/>
        <w:jc w:val="both"/>
        <w:rPr/>
      </w:pPr>
      <w:r>
        <w:rPr/>
        <w:t> </w:t>
      </w:r>
    </w:p>
    <w:p>
      <w:pPr>
        <w:pStyle w:val="TextBody"/>
        <w:bidi w:val="0"/>
        <w:spacing w:before="360" w:after="283"/>
        <w:jc w:val="both"/>
        <w:rPr>
          <w:rFonts w:ascii="Times New Roman" w:hAnsi="Times New Roman"/>
          <w:b/>
          <w:i/>
          <w:color w:val="000000"/>
          <w:sz w:val="24"/>
        </w:rPr>
      </w:pPr>
      <w:r>
        <w:rPr>
          <w:rFonts w:ascii="Times New Roman" w:hAnsi="Times New Roman"/>
          <w:b/>
          <w:i/>
          <w:color w:val="000000"/>
          <w:sz w:val="24"/>
        </w:rPr>
        <w:t>NOTE 16 – RELATED PARTY TRANSACTIONS</w:t>
      </w:r>
    </w:p>
    <w:p>
      <w:pPr>
        <w:pStyle w:val="TextBody"/>
        <w:bidi w:val="0"/>
        <w:spacing w:before="240" w:after="283"/>
        <w:jc w:val="both"/>
        <w:rPr>
          <w:rFonts w:ascii="Times New Roman" w:hAnsi="Times New Roman"/>
          <w:sz w:val="20"/>
        </w:rPr>
      </w:pPr>
      <w:r>
        <w:rPr>
          <w:rFonts w:ascii="Times New Roman" w:hAnsi="Times New Roman"/>
          <w:color w:val="000000"/>
          <w:sz w:val="24"/>
        </w:rPr>
        <w:t>Mr. David F. Landless has been a non-executive director of the Company since January 1, 2016 and is a non-executive director of Ausurus Group Limited which owns European Metal Recycling Limited (“EMR”) which from time to time purchases scrap metal from the Company. The Company has sold less than $0.1</w:t>
      </w:r>
      <w:r>
        <w:rPr>
          <w:rFonts w:ascii="Times New Roman" w:hAnsi="Times New Roman"/>
          <w:color w:val="000000"/>
          <w:sz w:val="20"/>
        </w:rPr>
        <w:t xml:space="preserve"> </w:t>
      </w:r>
      <w:r>
        <w:rPr>
          <w:rFonts w:ascii="Times New Roman" w:hAnsi="Times New Roman"/>
          <w:color w:val="000000"/>
          <w:sz w:val="24"/>
        </w:rPr>
        <w:t>million of scrap metal to EMR in the six months ended June 30, 2026 (six months ended June 30, 2025</w:t>
      </w:r>
      <w:r>
        <w:rPr>
          <w:rFonts w:ascii="Times New Roman" w:hAnsi="Times New Roman"/>
          <w:color w:val="000000"/>
          <w:sz w:val="20"/>
        </w:rPr>
        <w:t xml:space="preserve"> </w:t>
      </w:r>
      <w:r>
        <w:rPr>
          <w:rFonts w:ascii="Times New Roman" w:hAnsi="Times New Roman"/>
          <w:color w:val="000000"/>
          <w:sz w:val="24"/>
        </w:rPr>
        <w:t>less than $0.1</w:t>
      </w:r>
      <w:r>
        <w:rPr>
          <w:rFonts w:ascii="Times New Roman" w:hAnsi="Times New Roman"/>
          <w:color w:val="000000"/>
          <w:sz w:val="20"/>
        </w:rPr>
        <w:t xml:space="preserve"> </w:t>
      </w:r>
      <w:r>
        <w:rPr>
          <w:rFonts w:ascii="Times New Roman" w:hAnsi="Times New Roman"/>
          <w:color w:val="000000"/>
          <w:sz w:val="24"/>
        </w:rPr>
        <w:t>million). A tendering process is operated periodically to select the best buyer for the sale of scrap metal by the Company. As at June 30, 2026, EMR owed less than $0.1</w:t>
      </w:r>
      <w:r>
        <w:rPr>
          <w:rFonts w:ascii="Times New Roman" w:hAnsi="Times New Roman"/>
          <w:color w:val="000000"/>
          <w:sz w:val="20"/>
        </w:rPr>
        <w:t xml:space="preserve"> </w:t>
      </w:r>
      <w:r>
        <w:rPr>
          <w:rFonts w:ascii="Times New Roman" w:hAnsi="Times New Roman"/>
          <w:color w:val="000000"/>
          <w:sz w:val="24"/>
        </w:rPr>
        <w:t>million for scrap metal purchased from the Company (December 31, 2025</w:t>
      </w:r>
      <w:r>
        <w:rPr>
          <w:rFonts w:ascii="Times New Roman" w:hAnsi="Times New Roman"/>
          <w:color w:val="000000"/>
          <w:sz w:val="20"/>
        </w:rPr>
        <w:t xml:space="preserve"> </w:t>
      </w:r>
      <w:r>
        <w:rPr>
          <w:rFonts w:ascii="Times New Roman" w:hAnsi="Times New Roman"/>
          <w:color w:val="000000"/>
          <w:sz w:val="24"/>
        </w:rPr>
        <w:t>nil).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both"/>
        <w:rPr>
          <w:rFonts w:ascii="Times New Roman" w:hAnsi="Times New Roman"/>
          <w:color w:val="000000"/>
          <w:sz w:val="24"/>
        </w:rPr>
      </w:pPr>
      <w:bookmarkStart w:id="10" w:name="management_discussion_and_analysis"/>
      <w:bookmarkEnd w:id="10"/>
      <w:r>
        <w:rPr>
          <w:rFonts w:ascii="Times New Roman" w:hAnsi="Times New Roman"/>
          <w:color w:val="000000"/>
          <w:sz w:val="24"/>
        </w:rPr>
        <w:t>Item 2 Management’s Discussion and Analysis of Financial Condition and Results of Operations for the Three and Six Months Ended June 30, 2026</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This discussion should be read in conjunction with our unaudited interim condensed consolidated financial statements and the notes thereto.</w:t>
      </w:r>
    </w:p>
    <w:p>
      <w:pPr>
        <w:pStyle w:val="TextBody"/>
        <w:bidi w:val="0"/>
        <w:spacing w:before="360" w:after="283"/>
        <w:jc w:val="both"/>
        <w:rPr>
          <w:rFonts w:ascii="Times New Roman" w:hAnsi="Times New Roman"/>
          <w:b/>
          <w:i/>
          <w:color w:val="000000"/>
          <w:sz w:val="24"/>
        </w:rPr>
      </w:pPr>
      <w:bookmarkStart w:id="11" w:name="critical_accounting_estimates"/>
      <w:bookmarkEnd w:id="11"/>
      <w:r>
        <w:rPr>
          <w:rFonts w:ascii="Times New Roman" w:hAnsi="Times New Roman"/>
          <w:b/>
          <w:i/>
          <w:color w:val="000000"/>
          <w:sz w:val="24"/>
        </w:rPr>
        <w:t>CRITICAL ACCOUNTING ESTIMATES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policies and estimates that the Company considers the most critical in terms of complexity and subjectivity of assessment are those related to plant closure provisions, goodwill, other intangible assets and property, plant and equipment. These policies have been discussed in the Company’s 2025 Form 10-K.</w:t>
      </w:r>
    </w:p>
    <w:p>
      <w:pPr>
        <w:pStyle w:val="TextBody"/>
        <w:bidi w:val="0"/>
        <w:spacing w:before="360" w:after="283"/>
        <w:jc w:val="both"/>
        <w:rPr>
          <w:rFonts w:ascii="Times New Roman" w:hAnsi="Times New Roman"/>
          <w:sz w:val="20"/>
        </w:rPr>
      </w:pPr>
      <w:bookmarkStart w:id="12" w:name="results_of_operations"/>
      <w:bookmarkEnd w:id="12"/>
      <w:r>
        <w:rPr>
          <w:rFonts w:ascii="Times New Roman" w:hAnsi="Times New Roman"/>
          <w:b/>
          <w:i/>
          <w:color w:val="000000"/>
          <w:sz w:val="24"/>
        </w:rPr>
        <w:t>RESULTS</w:t>
      </w:r>
      <w:r>
        <w:rPr>
          <w:rFonts w:ascii="Times New Roman" w:hAnsi="Times New Roman"/>
          <w:color w:val="000000"/>
          <w:sz w:val="20"/>
        </w:rPr>
        <w:t xml:space="preserve"> </w:t>
      </w:r>
      <w:r>
        <w:rPr>
          <w:rFonts w:ascii="Times New Roman" w:hAnsi="Times New Roman"/>
          <w:b/>
          <w:i/>
          <w:color w:val="000000"/>
          <w:sz w:val="24"/>
        </w:rPr>
        <w:t>OF OPERATIONS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reports its financial performance based on three reportable segments, which are Performance Chemicals, Fuel Specialties and Oilfield Services.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table provides sales, gross profit and operating income by reporting segment:</w:t>
      </w:r>
    </w:p>
    <w:p>
      <w:pPr>
        <w:pStyle w:val="TextBody"/>
        <w:bidi w:val="0"/>
        <w:jc w:val="left"/>
        <w:rPr/>
      </w:pPr>
      <w:r>
        <w:rPr/>
        <w:t> </w:t>
      </w:r>
    </w:p>
    <w:tbl>
      <w:tblPr>
        <w:tblW w:w="8802" w:type="dxa"/>
        <w:jc w:val="left"/>
        <w:tblInd w:w="0" w:type="dxa"/>
        <w:tblLayout w:type="fixed"/>
        <w:tblCellMar>
          <w:top w:w="28" w:type="dxa"/>
          <w:left w:w="28" w:type="dxa"/>
          <w:bottom w:w="28" w:type="dxa"/>
          <w:right w:w="28" w:type="dxa"/>
        </w:tblCellMar>
      </w:tblPr>
      <w:tblGrid>
        <w:gridCol w:w="4381"/>
        <w:gridCol w:w="146"/>
        <w:gridCol w:w="211"/>
        <w:gridCol w:w="571"/>
        <w:gridCol w:w="166"/>
        <w:gridCol w:w="146"/>
        <w:gridCol w:w="211"/>
        <w:gridCol w:w="571"/>
        <w:gridCol w:w="166"/>
        <w:gridCol w:w="146"/>
        <w:gridCol w:w="211"/>
        <w:gridCol w:w="571"/>
        <w:gridCol w:w="166"/>
        <w:gridCol w:w="146"/>
        <w:gridCol w:w="211"/>
        <w:gridCol w:w="571"/>
        <w:gridCol w:w="21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Specialties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income/(loss):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Specialties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to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on disposal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60" w:after="283"/>
        <w:jc w:val="both"/>
        <w:rPr>
          <w:rFonts w:ascii="Times New Roman" w:hAnsi="Times New Roman"/>
          <w:color w:val="000000"/>
          <w:sz w:val="24"/>
        </w:rPr>
      </w:pPr>
      <w:r>
        <w:rPr>
          <w:rFonts w:ascii="Times New Roman" w:hAnsi="Times New Roman"/>
          <w:color w:val="000000"/>
          <w:sz w:val="24"/>
        </w:rPr>
        <w:t>Three Months Ended June 30, 2026</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following table shows the changes in sales, gross profit and operating expenses by reporting segment for the three months ended June 30, 2026, and the three months ended June 30, 2025:</w:t>
      </w:r>
    </w:p>
    <w:p>
      <w:pPr>
        <w:pStyle w:val="TextBody"/>
        <w:bidi w:val="0"/>
        <w:jc w:val="left"/>
        <w:rPr/>
      </w:pPr>
      <w:r>
        <w:rPr/>
        <w:t> </w:t>
      </w:r>
    </w:p>
    <w:tbl>
      <w:tblPr>
        <w:tblW w:w="8365" w:type="dxa"/>
        <w:jc w:val="left"/>
        <w:tblInd w:w="0" w:type="dxa"/>
        <w:tblLayout w:type="fixed"/>
        <w:tblCellMar>
          <w:top w:w="28" w:type="dxa"/>
          <w:left w:w="28" w:type="dxa"/>
          <w:bottom w:w="28" w:type="dxa"/>
          <w:right w:w="28" w:type="dxa"/>
        </w:tblCellMar>
      </w:tblPr>
      <w:tblGrid>
        <w:gridCol w:w="4381"/>
        <w:gridCol w:w="146"/>
        <w:gridCol w:w="211"/>
        <w:gridCol w:w="571"/>
        <w:gridCol w:w="166"/>
        <w:gridCol w:w="146"/>
        <w:gridCol w:w="211"/>
        <w:gridCol w:w="571"/>
        <w:gridCol w:w="166"/>
        <w:gridCol w:w="146"/>
        <w:gridCol w:w="211"/>
        <w:gridCol w:w="496"/>
        <w:gridCol w:w="166"/>
        <w:gridCol w:w="146"/>
        <w:gridCol w:w="63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 except ratios)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Specialties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Specialties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Aggregate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to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-87%</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on disposal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bl>
    <w:p>
      <w:pPr>
        <w:pStyle w:val="TextBody"/>
        <w:bidi w:val="0"/>
        <w:jc w:val="left"/>
        <w:rPr/>
      </w:pPr>
      <w:r>
        <w:rPr/>
        <w:t> </w:t>
      </w:r>
    </w:p>
    <w:p>
      <w:pPr>
        <w:pStyle w:val="Heading2"/>
        <w:bidi w:val="0"/>
        <w:spacing w:before="160" w:after="283"/>
        <w:jc w:val="both"/>
        <w:rPr>
          <w:rFonts w:ascii="Times New Roman" w:hAnsi="Times New Roman"/>
          <w:color w:val="000000"/>
          <w:sz w:val="24"/>
        </w:rPr>
      </w:pPr>
      <w:r>
        <w:rPr>
          <w:rFonts w:ascii="Times New Roman" w:hAnsi="Times New Roman"/>
          <w:color w:val="000000"/>
          <w:sz w:val="24"/>
        </w:rPr>
        <w:t>Performance Chemicals</w:t>
      </w:r>
    </w:p>
    <w:p>
      <w:pPr>
        <w:pStyle w:val="TextBody"/>
        <w:bidi w:val="0"/>
        <w:spacing w:before="120" w:after="283"/>
        <w:jc w:val="both"/>
        <w:rPr>
          <w:rFonts w:ascii="Times New Roman" w:hAnsi="Times New Roman"/>
          <w:sz w:val="20"/>
        </w:rPr>
      </w:pPr>
      <w:r>
        <w:rPr>
          <w:rFonts w:ascii="Times New Roman" w:hAnsi="Times New Roman"/>
          <w:i/>
          <w:color w:val="000000"/>
          <w:sz w:val="24"/>
        </w:rPr>
        <w:t xml:space="preserve">Net sales: </w:t>
      </w:r>
      <w:r>
        <w:rPr>
          <w:rFonts w:ascii="Times New Roman" w:hAnsi="Times New Roman"/>
          <w:color w:val="000000"/>
          <w:sz w:val="24"/>
        </w:rPr>
        <w:t>the table below details the components which comprise the year over year change in net sales spread across the markets in which we operate:</w:t>
      </w:r>
    </w:p>
    <w:p>
      <w:pPr>
        <w:pStyle w:val="TextBody"/>
        <w:bidi w:val="0"/>
        <w:jc w:val="left"/>
        <w:rPr/>
      </w:pPr>
      <w:r>
        <w:rPr/>
        <w:t> </w:t>
      </w:r>
    </w:p>
    <w:tbl>
      <w:tblPr>
        <w:tblW w:w="5643" w:type="dxa"/>
        <w:jc w:val="left"/>
        <w:tblInd w:w="0" w:type="dxa"/>
        <w:tblLayout w:type="fixed"/>
        <w:tblCellMar>
          <w:top w:w="28" w:type="dxa"/>
          <w:left w:w="28" w:type="dxa"/>
          <w:bottom w:w="28" w:type="dxa"/>
          <w:right w:w="28" w:type="dxa"/>
        </w:tblCellMar>
      </w:tblPr>
      <w:tblGrid>
        <w:gridCol w:w="1906"/>
        <w:gridCol w:w="146"/>
        <w:gridCol w:w="201"/>
        <w:gridCol w:w="580"/>
        <w:gridCol w:w="146"/>
        <w:gridCol w:w="146"/>
        <w:gridCol w:w="150"/>
        <w:gridCol w:w="436"/>
        <w:gridCol w:w="146"/>
        <w:gridCol w:w="146"/>
        <w:gridCol w:w="170"/>
        <w:gridCol w:w="491"/>
        <w:gridCol w:w="146"/>
        <w:gridCol w:w="146"/>
        <w:gridCol w:w="156"/>
        <w:gridCol w:w="340"/>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Change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EMEA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ASPAC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Price and product mix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Americas volumes were lower due to some supply constraints and reduced demand for our personal care products, offset by a favorable price and product mix due to pricing improvements. Volumes in EMEA were higher due to increased demand for our personal care products, combined with a favorable price and product mix, driven by higher demand for our higher priced products. ASPAC volumes were lower due to some supply constraints and decreased demand for certain products, being offset by a favorable price and product mix, driven by higher demand for our higher priced products. EMEA and ASPAC benefited from favorable foreign currency exchange rate movements.</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Gross margin: </w:t>
      </w:r>
      <w:r>
        <w:rPr>
          <w:rFonts w:ascii="Times New Roman" w:hAnsi="Times New Roman"/>
          <w:color w:val="000000"/>
          <w:sz w:val="24"/>
        </w:rPr>
        <w:t>the year over year decrease of 0.2 percentage points was primarily due to negative manufacturing variances due to lower production volumes in North America, as we continue to advance our plant repairs, process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improvements and upgrades following severe weather conditions in the first quarter.</w:t>
      </w:r>
    </w:p>
    <w:p>
      <w:pPr>
        <w:pStyle w:val="TextBody"/>
        <w:bidi w:val="0"/>
        <w:spacing w:before="240" w:after="283"/>
        <w:jc w:val="both"/>
        <w:rPr>
          <w:rFonts w:ascii="Times New Roman" w:hAnsi="Times New Roman"/>
          <w:sz w:val="20"/>
        </w:rPr>
      </w:pPr>
      <w:r>
        <w:rPr>
          <w:rFonts w:ascii="Times New Roman" w:hAnsi="Times New Roman"/>
          <w:i/>
          <w:color w:val="000000"/>
          <w:sz w:val="24"/>
        </w:rPr>
        <w:t>Operating expenses:</w:t>
      </w:r>
      <w:r>
        <w:rPr>
          <w:rFonts w:ascii="Times New Roman" w:hAnsi="Times New Roman"/>
          <w:color w:val="000000"/>
          <w:sz w:val="20"/>
        </w:rPr>
        <w:t xml:space="preserve"> </w:t>
      </w:r>
      <w:r>
        <w:rPr>
          <w:rFonts w:ascii="Times New Roman" w:hAnsi="Times New Roman"/>
          <w:color w:val="000000"/>
          <w:sz w:val="24"/>
        </w:rPr>
        <w:t>the year over year increase of $0.4 million was primarily due to higher provisions for performance-related remuneration accruals.</w:t>
      </w:r>
    </w:p>
    <w:p>
      <w:pPr>
        <w:pStyle w:val="Heading2"/>
        <w:bidi w:val="0"/>
        <w:spacing w:before="360" w:after="283"/>
        <w:jc w:val="both"/>
        <w:rPr>
          <w:rFonts w:ascii="Times New Roman" w:hAnsi="Times New Roman"/>
          <w:color w:val="000000"/>
          <w:sz w:val="24"/>
        </w:rPr>
      </w:pPr>
      <w:r>
        <w:rPr>
          <w:rFonts w:ascii="Times New Roman" w:hAnsi="Times New Roman"/>
          <w:color w:val="000000"/>
          <w:sz w:val="24"/>
        </w:rPr>
        <w:t>Fuel Specialties</w:t>
      </w:r>
    </w:p>
    <w:p>
      <w:pPr>
        <w:pStyle w:val="TextBody"/>
        <w:bidi w:val="0"/>
        <w:spacing w:before="120" w:after="283"/>
        <w:jc w:val="both"/>
        <w:rPr>
          <w:rFonts w:ascii="Times New Roman" w:hAnsi="Times New Roman"/>
          <w:sz w:val="20"/>
        </w:rPr>
      </w:pPr>
      <w:r>
        <w:rPr>
          <w:rFonts w:ascii="Times New Roman" w:hAnsi="Times New Roman"/>
          <w:i/>
          <w:color w:val="000000"/>
          <w:sz w:val="24"/>
        </w:rPr>
        <w:t xml:space="preserve">Net sales: </w:t>
      </w:r>
      <w:r>
        <w:rPr>
          <w:rFonts w:ascii="Times New Roman" w:hAnsi="Times New Roman"/>
          <w:color w:val="000000"/>
          <w:sz w:val="24"/>
        </w:rPr>
        <w:t>the table below details the components which comprise the year over year change in net sales spread across the markets in which we operate:</w:t>
      </w:r>
    </w:p>
    <w:p>
      <w:pPr>
        <w:pStyle w:val="TextBody"/>
        <w:bidi w:val="0"/>
        <w:jc w:val="both"/>
        <w:rPr/>
      </w:pPr>
      <w:r>
        <w:rPr/>
        <w:t> </w:t>
      </w:r>
    </w:p>
    <w:tbl>
      <w:tblPr>
        <w:tblW w:w="6607" w:type="dxa"/>
        <w:jc w:val="left"/>
        <w:tblInd w:w="0" w:type="dxa"/>
        <w:tblLayout w:type="fixed"/>
        <w:tblCellMar>
          <w:top w:w="28" w:type="dxa"/>
          <w:left w:w="28" w:type="dxa"/>
          <w:bottom w:w="28" w:type="dxa"/>
          <w:right w:w="28" w:type="dxa"/>
        </w:tblCellMar>
      </w:tblPr>
      <w:tblGrid>
        <w:gridCol w:w="1906"/>
        <w:gridCol w:w="146"/>
        <w:gridCol w:w="201"/>
        <w:gridCol w:w="580"/>
        <w:gridCol w:w="146"/>
        <w:gridCol w:w="146"/>
        <w:gridCol w:w="150"/>
        <w:gridCol w:w="436"/>
        <w:gridCol w:w="146"/>
        <w:gridCol w:w="146"/>
        <w:gridCol w:w="208"/>
        <w:gridCol w:w="453"/>
        <w:gridCol w:w="146"/>
        <w:gridCol w:w="146"/>
        <w:gridCol w:w="168"/>
        <w:gridCol w:w="433"/>
        <w:gridCol w:w="146"/>
        <w:gridCol w:w="146"/>
        <w:gridCol w:w="146"/>
        <w:gridCol w:w="421"/>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Change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EMEA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ASPAC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AvGas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Price and product mix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Sales volumes in the Americas increased year over year due to increased demand from customers, being partly offset by an adverse price and product mix. Sales volumes in EMEA increased year over year due to increased demand from customers, combining with a favorable price and product mix. Sales volumes in ASPAC decreased year over year due to decreased demand from customers, being offset by a favorable price and product mix. AvGas volumes were lower than the prior year due to variations in the demand from customers, combined with an adverse customer mix. All our regions benefited from favorable foreign currency exchange rate movements.</w:t>
      </w:r>
    </w:p>
    <w:p>
      <w:pPr>
        <w:pStyle w:val="TextBody"/>
        <w:bidi w:val="0"/>
        <w:spacing w:before="240" w:after="283"/>
        <w:jc w:val="both"/>
        <w:rPr>
          <w:rFonts w:ascii="Times New Roman" w:hAnsi="Times New Roman"/>
          <w:sz w:val="20"/>
        </w:rPr>
      </w:pPr>
      <w:r>
        <w:rPr>
          <w:rFonts w:ascii="Times New Roman" w:hAnsi="Times New Roman"/>
          <w:i/>
          <w:color w:val="000000"/>
          <w:sz w:val="24"/>
        </w:rPr>
        <w:t>Gross margin</w:t>
      </w:r>
      <w:r>
        <w:rPr>
          <w:rFonts w:ascii="Times New Roman" w:hAnsi="Times New Roman"/>
          <w:color w:val="000000"/>
          <w:sz w:val="24"/>
        </w:rPr>
        <w:t>: the year over year decrease of 1.5 percentage points was due to an adverse sales mix in the Americas from increased sales of lower margin products, being partly offset by sales in EMEA of higher margin products.</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Operating expenses: </w:t>
      </w:r>
      <w:r>
        <w:rPr>
          <w:rFonts w:ascii="Times New Roman" w:hAnsi="Times New Roman"/>
          <w:color w:val="000000"/>
          <w:sz w:val="24"/>
        </w:rPr>
        <w:t>the year over year increase of $4.2 million was primarily due to adverse movements to the provisions for doubtful debts, together with increased employee-related costs, including higher provisions for performance-related remuneration accruals.</w:t>
      </w:r>
    </w:p>
    <w:p>
      <w:pPr>
        <w:pStyle w:val="Heading2"/>
        <w:bidi w:val="0"/>
        <w:spacing w:before="360" w:after="283"/>
        <w:jc w:val="both"/>
        <w:rPr>
          <w:rFonts w:ascii="Times New Roman" w:hAnsi="Times New Roman"/>
          <w:color w:val="000000"/>
          <w:sz w:val="24"/>
        </w:rPr>
      </w:pPr>
      <w:r>
        <w:rPr>
          <w:rFonts w:ascii="Times New Roman" w:hAnsi="Times New Roman"/>
          <w:color w:val="000000"/>
          <w:sz w:val="24"/>
        </w:rPr>
        <w:t>Oilfield Services</w:t>
      </w:r>
    </w:p>
    <w:p>
      <w:pPr>
        <w:pStyle w:val="TextBody"/>
        <w:bidi w:val="0"/>
        <w:spacing w:before="120" w:after="283"/>
        <w:jc w:val="both"/>
        <w:rPr>
          <w:rFonts w:ascii="Times New Roman" w:hAnsi="Times New Roman"/>
          <w:sz w:val="20"/>
        </w:rPr>
      </w:pPr>
      <w:r>
        <w:rPr>
          <w:rFonts w:ascii="Times New Roman" w:hAnsi="Times New Roman"/>
          <w:i/>
          <w:color w:val="000000"/>
          <w:sz w:val="24"/>
        </w:rPr>
        <w:t xml:space="preserve">Net sales: </w:t>
      </w:r>
      <w:r>
        <w:rPr>
          <w:rFonts w:ascii="Times New Roman" w:hAnsi="Times New Roman"/>
          <w:color w:val="000000"/>
          <w:sz w:val="24"/>
        </w:rPr>
        <w:t>have increased year over year by $14.6 million, driven by our DRA plant expansion and associated demand. The majority of the segment's sales are concentrated in the Americas region.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Gross margin: </w:t>
      </w:r>
      <w:r>
        <w:rPr>
          <w:rFonts w:ascii="Times New Roman" w:hAnsi="Times New Roman"/>
          <w:color w:val="000000"/>
          <w:sz w:val="24"/>
        </w:rPr>
        <w:t>the year over year increase of 2.7 percentage points was due to a favorable sales mix.</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Operating expenses: </w:t>
      </w:r>
      <w:r>
        <w:rPr>
          <w:rFonts w:ascii="Times New Roman" w:hAnsi="Times New Roman"/>
          <w:color w:val="000000"/>
          <w:sz w:val="24"/>
        </w:rPr>
        <w:t>the year over year increase of $5.0 million was primarily due to adverse movements to the provisions for doubtful debts, together with increased operating expenses and increased employee-related costs, including higher provisions for performance-related remuneration accruals.</w:t>
      </w:r>
    </w:p>
    <w:p>
      <w:pPr>
        <w:pStyle w:val="Heading2"/>
        <w:bidi w:val="0"/>
        <w:spacing w:before="360" w:after="283"/>
        <w:jc w:val="both"/>
        <w:rPr>
          <w:rFonts w:ascii="Times New Roman" w:hAnsi="Times New Roman"/>
          <w:color w:val="000000"/>
          <w:sz w:val="24"/>
        </w:rPr>
      </w:pPr>
      <w:r>
        <w:rPr>
          <w:rFonts w:ascii="Times New Roman" w:hAnsi="Times New Roman"/>
          <w:color w:val="000000"/>
          <w:sz w:val="24"/>
        </w:rPr>
        <w:t>Other Income Statement Captions</w:t>
      </w:r>
    </w:p>
    <w:p>
      <w:pPr>
        <w:pStyle w:val="TextBody"/>
        <w:bidi w:val="0"/>
        <w:spacing w:before="120" w:after="283"/>
        <w:jc w:val="both"/>
        <w:rPr>
          <w:rFonts w:ascii="Times New Roman" w:hAnsi="Times New Roman"/>
          <w:sz w:val="20"/>
        </w:rPr>
      </w:pPr>
      <w:r>
        <w:rPr>
          <w:rFonts w:ascii="Times New Roman" w:hAnsi="Times New Roman"/>
          <w:i/>
          <w:color w:val="000000"/>
          <w:sz w:val="24"/>
        </w:rPr>
        <w:t xml:space="preserve">Corporate costs: </w:t>
      </w:r>
      <w:r>
        <w:rPr>
          <w:rFonts w:ascii="Times New Roman" w:hAnsi="Times New Roman"/>
          <w:color w:val="000000"/>
          <w:sz w:val="24"/>
        </w:rPr>
        <w:t>the year over year increase of $0.7 million was primarily due to higher legal and compliance expenses, together with higher information technology costs including additional amortization for our new ERP system, and higher provisions for performance-related remuneration accruals, being partly offset by lower legacy costs of closed operations and a favorable revaluation for our U.K. emissions trading scheme credits.</w:t>
      </w:r>
    </w:p>
    <w:p>
      <w:pPr>
        <w:pStyle w:val="TextBody"/>
        <w:bidi w:val="0"/>
        <w:spacing w:before="120" w:after="283"/>
        <w:jc w:val="both"/>
        <w:rPr>
          <w:rFonts w:ascii="Times New Roman" w:hAnsi="Times New Roman"/>
          <w:sz w:val="20"/>
        </w:rPr>
      </w:pPr>
      <w:r>
        <w:rPr>
          <w:rFonts w:ascii="Times New Roman" w:hAnsi="Times New Roman"/>
          <w:i/>
          <w:color w:val="000000"/>
          <w:sz w:val="24"/>
        </w:rPr>
        <w:t xml:space="preserve">Adjustment to fair value of contingent consideration: </w:t>
      </w:r>
      <w:r>
        <w:rPr>
          <w:rFonts w:ascii="Times New Roman" w:hAnsi="Times New Roman"/>
          <w:color w:val="000000"/>
          <w:sz w:val="24"/>
        </w:rPr>
        <w:t>is an expense in the current year of $0.1 million compared to an expense in the prior year of $0.8 million. The adjustment relates to the acquisition of QGP within our Performance Chemicals segment.</w:t>
      </w:r>
      <w:r>
        <w:rPr>
          <w:rFonts w:ascii="Times New Roman" w:hAnsi="Times New Roman"/>
          <w:color w:val="000000"/>
          <w:sz w:val="20"/>
        </w:rPr>
        <w:t xml:space="preserve"> </w:t>
      </w:r>
      <w:r>
        <w:rPr>
          <w:rFonts w:ascii="Times New Roman" w:hAnsi="Times New Roman"/>
          <w:color w:val="000000"/>
          <w:sz w:val="24"/>
        </w:rPr>
        <w:t>The year over year decrease relates to reduced accretion, due to the reduction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in the overall expected payable compared to the prior year. See Note 10 of the Notes to the Condensed Consolidated Financial Statements for additional information.</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Other net income/(expense): </w:t>
      </w:r>
      <w:r>
        <w:rPr>
          <w:rFonts w:ascii="Times New Roman" w:hAnsi="Times New Roman"/>
          <w:color w:val="000000"/>
          <w:sz w:val="24"/>
        </w:rPr>
        <w:t>for the three months ended June 30, 2026 was $1.1 million income compared to a $4.7 million expense in the three months ended June 30, 2025, primarily driven by the revaluation of foreign currency forward contracts, and the foreign currency translation of non-USD balances in the group.</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i/>
          <w:color w:val="000000"/>
          <w:sz w:val="24"/>
        </w:rPr>
        <w:t xml:space="preserve">Interest income/(expense), net: </w:t>
      </w:r>
      <w:r>
        <w:rPr>
          <w:rFonts w:ascii="Times New Roman" w:hAnsi="Times New Roman"/>
          <w:color w:val="000000"/>
          <w:sz w:val="24"/>
        </w:rPr>
        <w:t>in the three months ended June 30, 2026 was $0.8 million of income compared to $2.7 million of income in the three months ended June 30, 2025, driven by lower interest rates and lower cash balances in the current year.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4"/>
        </w:rPr>
        <w:t>Income taxes:</w:t>
      </w:r>
      <w:r>
        <w:rPr>
          <w:rFonts w:ascii="Times New Roman" w:hAnsi="Times New Roman"/>
          <w:color w:val="000000"/>
          <w:sz w:val="20"/>
        </w:rPr>
        <w:t xml:space="preserve"> </w:t>
      </w:r>
      <w:r>
        <w:rPr>
          <w:rFonts w:ascii="Times New Roman" w:hAnsi="Times New Roman"/>
          <w:color w:val="000000"/>
          <w:sz w:val="24"/>
        </w:rPr>
        <w:t>the effective tax rate was 25.0% and 26.0% in the second quarter of 2026 and 2025, respectively. The adjusted effective tax rate, once adjusted for the items set out in the following table, was 23.1% in 2026 compared with 23.3% in 2025. The 0.2% decrease in the adjusted effective rate was primarily due to the fact that a higher proportion of the Company’s profits are being generated in lower tax jurisdictions. The Company believes that this adjusted effective tax rate, a non-GAAP financial measure, provides useful information to investors and may assist them in evaluating the Company’s underlying performance and identifying operating trends. In addition, management uses this non-GAAP financial measure internally to evaluate the performance of the Company’s operations and for planning and forecasting in subsequent periods.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table shows a reconciliation of the GAAP effective tax charge to the adjusted effective tax charge:</w:t>
      </w:r>
    </w:p>
    <w:p>
      <w:pPr>
        <w:pStyle w:val="TextBody"/>
        <w:bidi w:val="0"/>
        <w:jc w:val="left"/>
        <w:rPr/>
      </w:pPr>
      <w:r>
        <w:rPr/>
        <w:t> </w:t>
      </w:r>
    </w:p>
    <w:tbl>
      <w:tblPr>
        <w:tblW w:w="7184" w:type="dxa"/>
        <w:jc w:val="left"/>
        <w:tblInd w:w="0" w:type="dxa"/>
        <w:tblLayout w:type="fixed"/>
        <w:tblCellMar>
          <w:top w:w="28" w:type="dxa"/>
          <w:left w:w="28" w:type="dxa"/>
          <w:bottom w:w="28" w:type="dxa"/>
          <w:right w:w="28" w:type="dxa"/>
        </w:tblCellMar>
      </w:tblPr>
      <w:tblGrid>
        <w:gridCol w:w="4951"/>
        <w:gridCol w:w="146"/>
        <w:gridCol w:w="211"/>
        <w:gridCol w:w="466"/>
        <w:gridCol w:w="271"/>
        <w:gridCol w:w="146"/>
        <w:gridCol w:w="211"/>
        <w:gridCol w:w="466"/>
        <w:gridCol w:w="316"/>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for 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to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Legacy costs of closed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on stock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on adjustment to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on legacy cost of closed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160" w:after="283"/>
        <w:jc w:val="both"/>
        <w:rPr>
          <w:rFonts w:ascii="Times New Roman" w:hAnsi="Times New Roman"/>
          <w:color w:val="000000"/>
          <w:sz w:val="24"/>
        </w:rPr>
      </w:pPr>
      <w:r>
        <w:rPr>
          <w:rFonts w:ascii="Times New Roman" w:hAnsi="Times New Roman"/>
          <w:color w:val="000000"/>
          <w:sz w:val="24"/>
        </w:rPr>
        <w:t>Six months ended June 30, 2026</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following table shows the changes in sales, gross profit and operating expenses by reporting segment for the six months ended June 30, 2026, and the six months ended June 30, 2025:</w:t>
      </w:r>
    </w:p>
    <w:p>
      <w:pPr>
        <w:pStyle w:val="TextBody"/>
        <w:bidi w:val="0"/>
        <w:jc w:val="left"/>
        <w:rPr/>
      </w:pPr>
      <w:r>
        <w:rPr/>
        <w:t> </w:t>
      </w:r>
    </w:p>
    <w:tbl>
      <w:tblPr>
        <w:tblW w:w="8515" w:type="dxa"/>
        <w:jc w:val="left"/>
        <w:tblInd w:w="0" w:type="dxa"/>
        <w:tblLayout w:type="fixed"/>
        <w:tblCellMar>
          <w:top w:w="28" w:type="dxa"/>
          <w:left w:w="28" w:type="dxa"/>
          <w:bottom w:w="28" w:type="dxa"/>
          <w:right w:w="28" w:type="dxa"/>
        </w:tblCellMar>
      </w:tblPr>
      <w:tblGrid>
        <w:gridCol w:w="4381"/>
        <w:gridCol w:w="146"/>
        <w:gridCol w:w="211"/>
        <w:gridCol w:w="631"/>
        <w:gridCol w:w="166"/>
        <w:gridCol w:w="146"/>
        <w:gridCol w:w="211"/>
        <w:gridCol w:w="631"/>
        <w:gridCol w:w="166"/>
        <w:gridCol w:w="146"/>
        <w:gridCol w:w="211"/>
        <w:gridCol w:w="526"/>
        <w:gridCol w:w="166"/>
        <w:gridCol w:w="146"/>
        <w:gridCol w:w="63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 except ratios)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Specialties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Chemicals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Specialties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Aggregate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0000"/>
                <w:sz w:val="20"/>
              </w:rPr>
            </w:pPr>
            <w:r>
              <w:rPr>
                <w:rFonts w:ascii="Times New Roman" w:hAnsi="Times New Roman"/>
                <w:b/>
                <w:i/>
                <w:color w:val="000000"/>
                <w:sz w:val="20"/>
              </w:rPr>
              <w:t>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Chemicals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Specialties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Oilfield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to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4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Profit on disposal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r>
      <w:tr>
        <w:trPr/>
        <w:tc>
          <w:tcPr>
            <w:tcW w:w="43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bl>
    <w:p>
      <w:pPr>
        <w:pStyle w:val="Heading2"/>
        <w:bidi w:val="0"/>
        <w:spacing w:before="160" w:after="283"/>
        <w:jc w:val="both"/>
        <w:rPr>
          <w:rFonts w:ascii="Times New Roman" w:hAnsi="Times New Roman"/>
          <w:color w:val="000000"/>
          <w:sz w:val="24"/>
        </w:rPr>
      </w:pPr>
      <w:r>
        <w:rPr>
          <w:rFonts w:ascii="Times New Roman" w:hAnsi="Times New Roman"/>
          <w:color w:val="000000"/>
          <w:sz w:val="24"/>
        </w:rPr>
        <w:t>Performance Chemicals</w:t>
      </w:r>
    </w:p>
    <w:p>
      <w:pPr>
        <w:pStyle w:val="TextBody"/>
        <w:bidi w:val="0"/>
        <w:spacing w:before="120" w:after="283"/>
        <w:jc w:val="both"/>
        <w:rPr>
          <w:rFonts w:ascii="Times New Roman" w:hAnsi="Times New Roman"/>
          <w:sz w:val="20"/>
        </w:rPr>
      </w:pPr>
      <w:r>
        <w:rPr>
          <w:rFonts w:ascii="Times New Roman" w:hAnsi="Times New Roman"/>
          <w:i/>
          <w:color w:val="000000"/>
          <w:sz w:val="24"/>
        </w:rPr>
        <w:t xml:space="preserve">Net sales: </w:t>
      </w:r>
      <w:r>
        <w:rPr>
          <w:rFonts w:ascii="Times New Roman" w:hAnsi="Times New Roman"/>
          <w:color w:val="000000"/>
          <w:sz w:val="24"/>
        </w:rPr>
        <w:t>the table below details the components which comprise the year over year change in net sales spread across the markets in which we operate:</w:t>
      </w:r>
    </w:p>
    <w:p>
      <w:pPr>
        <w:pStyle w:val="TextBody"/>
        <w:bidi w:val="0"/>
        <w:jc w:val="left"/>
        <w:rPr/>
      </w:pPr>
      <w:r>
        <w:rPr/>
        <w:t> </w:t>
      </w:r>
    </w:p>
    <w:tbl>
      <w:tblPr>
        <w:tblW w:w="5643" w:type="dxa"/>
        <w:jc w:val="left"/>
        <w:tblInd w:w="0" w:type="dxa"/>
        <w:tblLayout w:type="fixed"/>
        <w:tblCellMar>
          <w:top w:w="28" w:type="dxa"/>
          <w:left w:w="28" w:type="dxa"/>
          <w:bottom w:w="28" w:type="dxa"/>
          <w:right w:w="28" w:type="dxa"/>
        </w:tblCellMar>
      </w:tblPr>
      <w:tblGrid>
        <w:gridCol w:w="1906"/>
        <w:gridCol w:w="146"/>
        <w:gridCol w:w="201"/>
        <w:gridCol w:w="580"/>
        <w:gridCol w:w="146"/>
        <w:gridCol w:w="146"/>
        <w:gridCol w:w="150"/>
        <w:gridCol w:w="436"/>
        <w:gridCol w:w="146"/>
        <w:gridCol w:w="146"/>
        <w:gridCol w:w="184"/>
        <w:gridCol w:w="477"/>
        <w:gridCol w:w="146"/>
        <w:gridCol w:w="146"/>
        <w:gridCol w:w="156"/>
        <w:gridCol w:w="340"/>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Change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EMEA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ASPAC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Price and product mix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Americas volumes were lower due to some supply constraints and reduced demand for our personal care products, partly offset by a favorable price and product mix due to continuing pricing improvements. Volumes in EMEA were higher, being partly offset by an adverse price and product mix driven by higher demand for our lower priced products. ASPAC volumes were lower driven by some supply constraints and decreased demand for certain products, being partly offset by a favorable price and product mix. EMEA and ASPAC benefited from favorable foreign currency exchange rate movements.</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Gross margin: </w:t>
      </w:r>
      <w:r>
        <w:rPr>
          <w:rFonts w:ascii="Times New Roman" w:hAnsi="Times New Roman"/>
          <w:color w:val="000000"/>
          <w:sz w:val="24"/>
        </w:rPr>
        <w:t>the year over year decrease of 2.1 percentage points was primarily due to an adverse sales mix, together with the negative manufacturing variances in North America due to lower production volumes following severe weather conditions in the first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4"/>
        </w:rPr>
        <w:t>Operating expenses:</w:t>
      </w:r>
      <w:r>
        <w:rPr>
          <w:rFonts w:ascii="Times New Roman" w:hAnsi="Times New Roman"/>
          <w:color w:val="000000"/>
          <w:sz w:val="20"/>
        </w:rPr>
        <w:t xml:space="preserve"> </w:t>
      </w:r>
      <w:r>
        <w:rPr>
          <w:rFonts w:ascii="Times New Roman" w:hAnsi="Times New Roman"/>
          <w:color w:val="000000"/>
          <w:sz w:val="24"/>
        </w:rPr>
        <w:t>the year over year increase of $2.6 million was primarily due to adverse movements to the provisions for doubtful debts, together with increased research and development expenses and higher provisions for performance-related remuneration accruals, being partly offset by reductions for other expenses.</w:t>
      </w:r>
    </w:p>
    <w:p>
      <w:pPr>
        <w:pStyle w:val="Heading2"/>
        <w:bidi w:val="0"/>
        <w:spacing w:before="360" w:after="283"/>
        <w:jc w:val="both"/>
        <w:rPr>
          <w:rFonts w:ascii="Times New Roman" w:hAnsi="Times New Roman"/>
          <w:color w:val="000000"/>
          <w:sz w:val="24"/>
        </w:rPr>
      </w:pPr>
      <w:r>
        <w:rPr>
          <w:rFonts w:ascii="Times New Roman" w:hAnsi="Times New Roman"/>
          <w:color w:val="000000"/>
          <w:sz w:val="24"/>
        </w:rPr>
        <w:t>Fuel Specialties</w:t>
      </w:r>
    </w:p>
    <w:p>
      <w:pPr>
        <w:pStyle w:val="TextBody"/>
        <w:bidi w:val="0"/>
        <w:spacing w:before="120" w:after="283"/>
        <w:jc w:val="both"/>
        <w:rPr>
          <w:rFonts w:ascii="Times New Roman" w:hAnsi="Times New Roman"/>
          <w:sz w:val="20"/>
        </w:rPr>
      </w:pPr>
      <w:r>
        <w:rPr>
          <w:rFonts w:ascii="Times New Roman" w:hAnsi="Times New Roman"/>
          <w:i/>
          <w:color w:val="000000"/>
          <w:sz w:val="24"/>
        </w:rPr>
        <w:t xml:space="preserve">Net sales: </w:t>
      </w:r>
      <w:r>
        <w:rPr>
          <w:rFonts w:ascii="Times New Roman" w:hAnsi="Times New Roman"/>
          <w:color w:val="000000"/>
          <w:sz w:val="24"/>
        </w:rPr>
        <w:t>the table below details the components which comprise the year over year change in net sales spread across the markets in which we operate:</w:t>
      </w:r>
    </w:p>
    <w:p>
      <w:pPr>
        <w:pStyle w:val="TextBody"/>
        <w:bidi w:val="0"/>
        <w:jc w:val="both"/>
        <w:rPr/>
      </w:pPr>
      <w:r>
        <w:rPr/>
        <w:t> </w:t>
      </w:r>
    </w:p>
    <w:tbl>
      <w:tblPr>
        <w:tblW w:w="6607" w:type="dxa"/>
        <w:jc w:val="left"/>
        <w:tblInd w:w="0" w:type="dxa"/>
        <w:tblLayout w:type="fixed"/>
        <w:tblCellMar>
          <w:top w:w="28" w:type="dxa"/>
          <w:left w:w="28" w:type="dxa"/>
          <w:bottom w:w="28" w:type="dxa"/>
          <w:right w:w="28" w:type="dxa"/>
        </w:tblCellMar>
      </w:tblPr>
      <w:tblGrid>
        <w:gridCol w:w="1906"/>
        <w:gridCol w:w="146"/>
        <w:gridCol w:w="246"/>
        <w:gridCol w:w="535"/>
        <w:gridCol w:w="146"/>
        <w:gridCol w:w="146"/>
        <w:gridCol w:w="150"/>
        <w:gridCol w:w="436"/>
        <w:gridCol w:w="146"/>
        <w:gridCol w:w="146"/>
        <w:gridCol w:w="208"/>
        <w:gridCol w:w="453"/>
        <w:gridCol w:w="146"/>
        <w:gridCol w:w="146"/>
        <w:gridCol w:w="168"/>
        <w:gridCol w:w="433"/>
        <w:gridCol w:w="146"/>
        <w:gridCol w:w="146"/>
        <w:gridCol w:w="146"/>
        <w:gridCol w:w="421"/>
        <w:gridCol w:w="191"/>
      </w:tblGrid>
      <w:tr>
        <w:trPr/>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Change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Americas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EMEA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ASPAC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AvGas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Volume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Price and product mix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Sales volumes in all our regions increased year over year due to increased demand from customers. The Americas and ASPAC were impacted by an adverse price and product mix due to higher sales of lower priced products. EMEA benefited from a favorable price and product mix due to higher sales of higher priced products. AvGas volumes were lower than the prior year due to variations in the demand from customers, being partly offset by a favorable customer mix. All our regions benefited from favorable foreign currency exchange rate movements.</w:t>
      </w:r>
    </w:p>
    <w:p>
      <w:pPr>
        <w:pStyle w:val="TextBody"/>
        <w:bidi w:val="0"/>
        <w:spacing w:before="240" w:after="283"/>
        <w:jc w:val="both"/>
        <w:rPr>
          <w:rFonts w:ascii="Times New Roman" w:hAnsi="Times New Roman"/>
          <w:sz w:val="20"/>
        </w:rPr>
      </w:pPr>
      <w:r>
        <w:rPr>
          <w:rFonts w:ascii="Times New Roman" w:hAnsi="Times New Roman"/>
          <w:i/>
          <w:color w:val="000000"/>
          <w:sz w:val="24"/>
        </w:rPr>
        <w:t>Gross margin</w:t>
      </w:r>
      <w:r>
        <w:rPr>
          <w:rFonts w:ascii="Times New Roman" w:hAnsi="Times New Roman"/>
          <w:color w:val="000000"/>
          <w:sz w:val="24"/>
        </w:rPr>
        <w:t>: the year over year decrease of 0.9 percentage points was due to an adverse sales mix in the Americas from increased sales of lower margin products, being partly offset by sales in EMEA of higher margin products.</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Operating expenses: </w:t>
      </w:r>
      <w:r>
        <w:rPr>
          <w:rFonts w:ascii="Times New Roman" w:hAnsi="Times New Roman"/>
          <w:color w:val="000000"/>
          <w:sz w:val="24"/>
        </w:rPr>
        <w:t>the year over year increase of $6.8 million was primarily due to adverse movements to the provisions for doubtful debts, together with increased operating expenses and increased employee-related costs, including higher provisions for performance-related remuneration accruals.</w:t>
      </w:r>
    </w:p>
    <w:p>
      <w:pPr>
        <w:pStyle w:val="Heading2"/>
        <w:bidi w:val="0"/>
        <w:spacing w:before="360" w:after="283"/>
        <w:jc w:val="both"/>
        <w:rPr>
          <w:rFonts w:ascii="Times New Roman" w:hAnsi="Times New Roman"/>
          <w:color w:val="000000"/>
          <w:sz w:val="24"/>
        </w:rPr>
      </w:pPr>
      <w:r>
        <w:rPr>
          <w:rFonts w:ascii="Times New Roman" w:hAnsi="Times New Roman"/>
          <w:color w:val="000000"/>
          <w:sz w:val="24"/>
        </w:rPr>
        <w:t>Oilfield Services</w:t>
      </w:r>
    </w:p>
    <w:p>
      <w:pPr>
        <w:pStyle w:val="TextBody"/>
        <w:bidi w:val="0"/>
        <w:spacing w:before="120" w:after="283"/>
        <w:jc w:val="both"/>
        <w:rPr>
          <w:rFonts w:ascii="Times New Roman" w:hAnsi="Times New Roman"/>
          <w:sz w:val="20"/>
        </w:rPr>
      </w:pPr>
      <w:r>
        <w:rPr>
          <w:rFonts w:ascii="Times New Roman" w:hAnsi="Times New Roman"/>
          <w:i/>
          <w:color w:val="000000"/>
          <w:sz w:val="24"/>
        </w:rPr>
        <w:t xml:space="preserve">Net sales: </w:t>
      </w:r>
      <w:r>
        <w:rPr>
          <w:rFonts w:ascii="Times New Roman" w:hAnsi="Times New Roman"/>
          <w:color w:val="000000"/>
          <w:sz w:val="24"/>
        </w:rPr>
        <w:t>have increased year over year by $14.7 million, driven by our DRA plant expansion and associated demand. The majority of the segment's sales are concentrated in the Americas region.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Gross margin: </w:t>
      </w:r>
      <w:r>
        <w:rPr>
          <w:rFonts w:ascii="Times New Roman" w:hAnsi="Times New Roman"/>
          <w:color w:val="000000"/>
          <w:sz w:val="24"/>
        </w:rPr>
        <w:t>the year over year increase of 2.3 percentage points was due to a favorable sales mix.</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Operating expenses: </w:t>
      </w:r>
      <w:r>
        <w:rPr>
          <w:rFonts w:ascii="Times New Roman" w:hAnsi="Times New Roman"/>
          <w:color w:val="000000"/>
          <w:sz w:val="24"/>
        </w:rPr>
        <w:t>the year over year increase of $5.3 million was primarily due to adverse movements to the provisions for doubtful debts, together with increased operating expenses and increased employee-related costs, including higher provisions for performance-related remuneration accruals.</w:t>
      </w:r>
    </w:p>
    <w:p>
      <w:pPr>
        <w:pStyle w:val="Heading2"/>
        <w:bidi w:val="0"/>
        <w:spacing w:before="360" w:after="283"/>
        <w:jc w:val="both"/>
        <w:rPr>
          <w:rFonts w:ascii="Times New Roman" w:hAnsi="Times New Roman"/>
          <w:color w:val="000000"/>
          <w:sz w:val="24"/>
        </w:rPr>
      </w:pPr>
      <w:r>
        <w:rPr>
          <w:rFonts w:ascii="Times New Roman" w:hAnsi="Times New Roman"/>
          <w:color w:val="000000"/>
          <w:sz w:val="24"/>
        </w:rPr>
        <w:t>Other Income Statement Captions</w:t>
      </w:r>
    </w:p>
    <w:p>
      <w:pPr>
        <w:pStyle w:val="TextBody"/>
        <w:bidi w:val="0"/>
        <w:spacing w:before="120" w:after="283"/>
        <w:jc w:val="both"/>
        <w:rPr>
          <w:rFonts w:ascii="Times New Roman" w:hAnsi="Times New Roman"/>
          <w:sz w:val="20"/>
        </w:rPr>
      </w:pPr>
      <w:r>
        <w:rPr>
          <w:rFonts w:ascii="Times New Roman" w:hAnsi="Times New Roman"/>
          <w:i/>
          <w:color w:val="000000"/>
          <w:sz w:val="24"/>
        </w:rPr>
        <w:t xml:space="preserve">Corporate costs: </w:t>
      </w:r>
      <w:r>
        <w:rPr>
          <w:rFonts w:ascii="Times New Roman" w:hAnsi="Times New Roman"/>
          <w:color w:val="000000"/>
          <w:sz w:val="24"/>
        </w:rPr>
        <w:t>the year over year increase of $5.3 million was primarily due to higher legal and compliance expenses, together with higher information technology costs including additional amortization for our new ERP system, and higher provisions for performance-related remuneration accruals, being partly offset by lower legacy costs of closed operations and a favorable revaluation for our U.K. emissions trading scheme credits.</w:t>
      </w:r>
    </w:p>
    <w:p>
      <w:pPr>
        <w:pStyle w:val="TextBody"/>
        <w:bidi w:val="0"/>
        <w:spacing w:before="120" w:after="283"/>
        <w:jc w:val="both"/>
        <w:rPr>
          <w:rFonts w:ascii="Times New Roman" w:hAnsi="Times New Roman"/>
          <w:sz w:val="20"/>
        </w:rPr>
      </w:pPr>
      <w:r>
        <w:rPr>
          <w:rFonts w:ascii="Times New Roman" w:hAnsi="Times New Roman"/>
          <w:i/>
          <w:color w:val="000000"/>
          <w:sz w:val="24"/>
        </w:rPr>
        <w:t xml:space="preserve">Adjustment to fair value of contingent consideration: </w:t>
      </w:r>
      <w:r>
        <w:rPr>
          <w:rFonts w:ascii="Times New Roman" w:hAnsi="Times New Roman"/>
          <w:color w:val="000000"/>
          <w:sz w:val="24"/>
        </w:rPr>
        <w:t>is a credit in the current year of $4.6 million compared to an expense in the prior year of $1.5 million. The adjustment relates to the acquisition of QGP within our Performance Chemicals segment. The credit in the current year relates to a reduction in the expected payable,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4"/>
        </w:rPr>
        <w:t>together with the lower accretion charge calculated on the lower expected payable.</w:t>
      </w:r>
      <w:r>
        <w:rPr>
          <w:rFonts w:ascii="Times New Roman" w:hAnsi="Times New Roman"/>
          <w:color w:val="000000"/>
          <w:sz w:val="20"/>
        </w:rPr>
        <w:t xml:space="preserve"> </w:t>
      </w:r>
      <w:r>
        <w:rPr>
          <w:rFonts w:ascii="Times New Roman" w:hAnsi="Times New Roman"/>
          <w:color w:val="000000"/>
          <w:sz w:val="24"/>
        </w:rPr>
        <w:t>See Note 10 of the Notes to the Condensed Consolidated Financial Statements for additional information.</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Other net income/(expense): </w:t>
      </w:r>
      <w:r>
        <w:rPr>
          <w:rFonts w:ascii="Times New Roman" w:hAnsi="Times New Roman"/>
          <w:color w:val="000000"/>
          <w:sz w:val="24"/>
        </w:rPr>
        <w:t>for the six months ended June 30, 2026 was $3.7 million income compared to a $4.4 million expense in the three months ended June 30, 2025, primarily driven by the revaluation of foreign currency forward contracts, and the foreign currency translation of non-USD balances in the group.</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4"/>
        </w:rPr>
        <w:t xml:space="preserve">Interest income/(expense), net: </w:t>
      </w:r>
      <w:r>
        <w:rPr>
          <w:rFonts w:ascii="Times New Roman" w:hAnsi="Times New Roman"/>
          <w:color w:val="000000"/>
          <w:sz w:val="24"/>
        </w:rPr>
        <w:t>in the six months ended June 30, 2026 was $1.6 million of income compared to $5.1 million of income in the six months ended June 30, 2025, driven by lower interest rates and lower cash balances in the current year.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4"/>
        </w:rPr>
        <w:t>Income taxes:</w:t>
      </w:r>
      <w:r>
        <w:rPr>
          <w:rFonts w:ascii="Times New Roman" w:hAnsi="Times New Roman"/>
          <w:color w:val="000000"/>
          <w:sz w:val="20"/>
        </w:rPr>
        <w:t xml:space="preserve"> </w:t>
      </w:r>
      <w:r>
        <w:rPr>
          <w:rFonts w:ascii="Times New Roman" w:hAnsi="Times New Roman"/>
          <w:color w:val="000000"/>
          <w:sz w:val="24"/>
        </w:rPr>
        <w:t>the effective tax rate was 23.9% and 25.8% in the first six months of 2026 and 2025, respectively. The adjusted effective tax rate, once adjusted for the items set out in the following table, was 23.0% in 2026 compared with 23.7% in 2025. The 0.7% decrease in the adjusted effective rate was primarily due to the fact that a higher proportion of the Company’s profits are being generated in lower tax jurisdictions. The Company believes that this adjusted effective tax rate, a non-GAAP financial measure, provides useful information to investors and may assist them in evaluating the Company’s underlying performance and identifying operating trends. In addition, management uses this non-GAAP financial measure internally to evaluate the performance of the Company’s operations and for planning and forecasting in subsequent periods.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table shows a reconciliation of the GAAP effective tax charge to the adjusted effective tax charge:</w:t>
      </w:r>
    </w:p>
    <w:p>
      <w:pPr>
        <w:pStyle w:val="TextBody"/>
        <w:bidi w:val="0"/>
        <w:jc w:val="left"/>
        <w:rPr/>
      </w:pPr>
      <w:r>
        <w:rPr/>
        <w:t> </w:t>
      </w:r>
    </w:p>
    <w:tbl>
      <w:tblPr>
        <w:tblW w:w="7184" w:type="dxa"/>
        <w:jc w:val="left"/>
        <w:tblInd w:w="0" w:type="dxa"/>
        <w:tblLayout w:type="fixed"/>
        <w:tblCellMar>
          <w:top w:w="28" w:type="dxa"/>
          <w:left w:w="28" w:type="dxa"/>
          <w:bottom w:w="28" w:type="dxa"/>
          <w:right w:w="28" w:type="dxa"/>
        </w:tblCellMar>
      </w:tblPr>
      <w:tblGrid>
        <w:gridCol w:w="4951"/>
        <w:gridCol w:w="146"/>
        <w:gridCol w:w="211"/>
        <w:gridCol w:w="466"/>
        <w:gridCol w:w="271"/>
        <w:gridCol w:w="146"/>
        <w:gridCol w:w="211"/>
        <w:gridCol w:w="466"/>
        <w:gridCol w:w="316"/>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for 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to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Legacy cost of closed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on stock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on legacy cost of closed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on adjustment to fair value of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120" w:after="283"/>
        <w:jc w:val="both"/>
        <w:rPr>
          <w:rFonts w:ascii="Times New Roman" w:hAnsi="Times New Roman"/>
          <w:color w:val="000000"/>
          <w:sz w:val="24"/>
        </w:rPr>
      </w:pPr>
      <w:bookmarkStart w:id="13" w:name="liquidity_and_financial_condition"/>
      <w:bookmarkEnd w:id="13"/>
      <w:r>
        <w:rPr>
          <w:rFonts w:ascii="Times New Roman" w:hAnsi="Times New Roman"/>
          <w:color w:val="000000"/>
          <w:sz w:val="24"/>
        </w:rPr>
        <w:t>LIQUIDITY AND FINANCIAL CONDITION</w:t>
      </w:r>
    </w:p>
    <w:p>
      <w:pPr>
        <w:pStyle w:val="Heading2"/>
        <w:bidi w:val="0"/>
        <w:spacing w:before="120" w:after="283"/>
        <w:jc w:val="both"/>
        <w:rPr>
          <w:rFonts w:ascii="Times New Roman" w:hAnsi="Times New Roman"/>
          <w:color w:val="000000"/>
          <w:sz w:val="24"/>
        </w:rPr>
      </w:pPr>
      <w:r>
        <w:rPr>
          <w:rFonts w:ascii="Times New Roman" w:hAnsi="Times New Roman"/>
          <w:color w:val="000000"/>
          <w:sz w:val="24"/>
        </w:rPr>
        <w:t>Working Capital</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In the six months ended June 30, 2026 our working capital increased by $12.1 million, while our adjusted working capital increased by $55.1 million. The difference is primarily due to the exclusion of the movements for cash and cash equivalents and the movements for income taxes, being partly offset by the other movements shown in the table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believes that adjusted working capital, a non-GAAP financial measure (defined by the Company as trade and other accounts receivable, inventories, prepaid expenses, accounts payable and accrued liabilities rather than total current assets less total current liabilities) provides useful information to investors in evaluating the Company’s underlying performance and identifying operating trends. Management uses this non-GAAP financial measure internally to allocate resources and evaluate the performance of the Company’s operations. Items excluded from working capital in the adjusted working capital calculation are listed in the table below and represent factors which do not fluctuate in line with the day to day working capital needs of the business.</w:t>
      </w:r>
    </w:p>
    <w:p>
      <w:pPr>
        <w:pStyle w:val="TextBody"/>
        <w:bidi w:val="0"/>
        <w:spacing w:before="1" w:after="283"/>
        <w:jc w:val="left"/>
        <w:rPr/>
      </w:pPr>
      <w:r>
        <w:rPr/>
        <w:t> </w:t>
      </w:r>
    </w:p>
    <w:tbl>
      <w:tblPr>
        <w:tblW w:w="8727" w:type="dxa"/>
        <w:jc w:val="left"/>
        <w:tblInd w:w="0" w:type="dxa"/>
        <w:tblLayout w:type="fixed"/>
        <w:tblCellMar>
          <w:top w:w="28" w:type="dxa"/>
          <w:left w:w="28" w:type="dxa"/>
          <w:bottom w:w="28" w:type="dxa"/>
          <w:right w:w="28" w:type="dxa"/>
        </w:tblCellMar>
      </w:tblPr>
      <w:tblGrid>
        <w:gridCol w:w="6031"/>
        <w:gridCol w:w="146"/>
        <w:gridCol w:w="211"/>
        <w:gridCol w:w="721"/>
        <w:gridCol w:w="166"/>
        <w:gridCol w:w="146"/>
        <w:gridCol w:w="248"/>
        <w:gridCol w:w="847"/>
        <w:gridCol w:w="211"/>
      </w:tblGrid>
      <w:tr>
        <w:trPr/>
        <w:tc>
          <w:tcPr>
            <w:tcW w:w="6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prepaid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back accrued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back current portion of plant closure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back current portion of acquisition-related contingent consideration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 back 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We had a $66.3 million increase in trade and other accounts receivable, including a $3.6 million increase in allowances, which was primarily due to increased sales for all our segments. Days’ sales outstanding decreased in our Performance Chemicals segment from 72 days to 66 days; increased from 57 days to 62 days in our Fuel Specialties segment; and increased from 64 days to 80 days in our Oilfield Services segment.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We had a $8.0 million increase in inventories, including a $2.1 million increase in allowances, which was primarily driven by higher levels of finished goods for our Fuel Specialties segment due to the timing of production. The Company continues to maintain inventory levels necessary to manage the risk of potential supply chain disruption for certain key raw materials, especially in our Fuel Specialties segment. Days’ sales in inventory in our Performance Chemicals segment decreased from 65 days to 53 days; increased from 133 days to 144 days in our Fuel Specialties segment; and decreased from 83 days to 61 days in our Oilfield Services segment.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Prepaid expenses decreased $6.8 million, from $20.1 million to $13.3 million, primarily due to the cyclical expensing of prepaid invoices.</w:t>
      </w:r>
    </w:p>
    <w:p>
      <w:pPr>
        <w:pStyle w:val="TextBody"/>
        <w:bidi w:val="0"/>
        <w:spacing w:before="240" w:after="283"/>
        <w:jc w:val="both"/>
        <w:rPr>
          <w:rFonts w:ascii="Times New Roman" w:hAnsi="Times New Roman"/>
          <w:sz w:val="20"/>
        </w:rPr>
      </w:pPr>
      <w:r>
        <w:rPr>
          <w:rFonts w:ascii="Times New Roman" w:hAnsi="Times New Roman"/>
          <w:color w:val="000000"/>
          <w:sz w:val="24"/>
        </w:rPr>
        <w:t>We had a $12.4 million increase in accounts payable and accrued liabilities, which was dependent on the timing of payments for each of our reporting segments. Creditor days (including goods received not invoiced) have decreased in our Performance Chemicals segment from 50 days to 49 days; decreased from 58 days to 54 days in our Fuel Specialties segment; and increased from 46 days to 59 days in our Oilfield Services segment.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both"/>
        <w:rPr>
          <w:rFonts w:ascii="Times New Roman" w:hAnsi="Times New Roman"/>
          <w:color w:val="000000"/>
          <w:sz w:val="24"/>
        </w:rPr>
      </w:pPr>
      <w:r>
        <w:rPr>
          <w:rFonts w:ascii="Times New Roman" w:hAnsi="Times New Roman"/>
          <w:color w:val="000000"/>
          <w:sz w:val="24"/>
        </w:rPr>
        <w:t>Operating Cash Flows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We generated cash from operating activities of $24.8 million in the six months ended June 30, 2026 compared to $38.8 million in the six months ended June 30, 2025. The decrease in cash generated from operating activities compared to the prior year was primarily related to higher increases in working capital, being partly offset by the timing of income tax payments.</w:t>
      </w:r>
    </w:p>
    <w:p>
      <w:pPr>
        <w:pStyle w:val="Heading2"/>
        <w:bidi w:val="0"/>
        <w:spacing w:before="360" w:after="283"/>
        <w:jc w:val="both"/>
        <w:rPr>
          <w:rFonts w:ascii="Times New Roman" w:hAnsi="Times New Roman"/>
          <w:color w:val="000000"/>
          <w:sz w:val="24"/>
        </w:rPr>
      </w:pPr>
      <w:r>
        <w:rPr>
          <w:rFonts w:ascii="Times New Roman" w:hAnsi="Times New Roman"/>
          <w:color w:val="000000"/>
          <w:sz w:val="24"/>
        </w:rPr>
        <w:t>Cash</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At June 30, 2026 and December 31, 2025, we had cash and cash equivalents of $250.2 million and $292.5 million, respectively, of which $131.4 million and $145.4 million, respectively, were held by non-U.S. subsidiaries principally in the United Kingdom.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decrease in cash and cash equivalents of $42.3 million for the six months ended June 30, 2026 was primarily driven by our continued investments in capital projects, payments for our new ERP system implementation, payment of our semi-annual dividend and the repurchases of our common stock, being partly offset by the cash generated from operating activities.</w:t>
      </w:r>
    </w:p>
    <w:p>
      <w:pPr>
        <w:pStyle w:val="Heading2"/>
        <w:bidi w:val="0"/>
        <w:spacing w:before="360" w:after="283"/>
        <w:jc w:val="both"/>
        <w:rPr>
          <w:rFonts w:ascii="Times New Roman" w:hAnsi="Times New Roman"/>
          <w:color w:val="000000"/>
          <w:sz w:val="24"/>
        </w:rPr>
      </w:pPr>
      <w:r>
        <w:rPr>
          <w:rFonts w:ascii="Times New Roman" w:hAnsi="Times New Roman"/>
          <w:color w:val="000000"/>
          <w:sz w:val="24"/>
        </w:rPr>
        <w:t>Debt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We continue to have available a $250.0 million multicurrency revolving credit facility.</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At June 30, 2026, and December 31, 2025, we had no debt outstanding under the revolving credit facility and no obligations were outstanding under finance leases. See Note 8 of the Notes to the Condensed Consolidated Financial Statements for additional information.</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both"/>
        <w:rPr>
          <w:rFonts w:ascii="Times New Roman" w:hAnsi="Times New Roman"/>
          <w:color w:val="000000"/>
          <w:sz w:val="24"/>
        </w:rPr>
      </w:pPr>
      <w:bookmarkStart w:id="14" w:name="quantitative_and_qualitative_disclosures"/>
      <w:bookmarkEnd w:id="14"/>
      <w:r>
        <w:rPr>
          <w:rFonts w:ascii="Times New Roman" w:hAnsi="Times New Roman"/>
          <w:color w:val="000000"/>
          <w:sz w:val="24"/>
        </w:rPr>
        <w:t>Item 3 Quantitative and Qualitative Disclosures about Market Risk</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uses floating rate debt to finance its global operations. The Company is subject to business risks inherent in non-U.S. activities, including political and economic uncertainty, import and export limitations, and market risk related to changes in interest rates and foreign currency exchange rates. The political and economic risks are mitigated by the stability of the major countries in which the Company’s largest operations are located. Credit limits, ongoing credit evaluation and account monitoring procedures are used to minimize bad debt risk. Collateral is not generally required.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From time to time, the Company uses derivatives, including interest rate swaps, commodity swaps and foreign currency forward exchange contracts, in the normal course of business to manage market risks. The derivatives used in hedging activities are considered risk management tools and are not used for trading purposes. In addition, the Company enters into derivative instruments with a diversified group of major financial institutions in order to manage the exposure to non-performance of such instruments. The Company’s objective in managing the exposure to changes in interest rates is to limit the impact of such changes on earnings and cash flows and to lower overall borrowing costs. The Company’s objective in managing the exposure to changes in foreign currency exchange rates is to reduce volatility on earnings and cash flows associated with such changes.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 offers fixed prices for some long-term sales contracts. As manufacturing and raw material costs are subject to variability, the Company, from time to time, uses commodity swaps to hedge the cost of some raw materials thus reducing volatility on earnings and cash flows. The derivatives are considered risk management tools and are not used for trading purposes. The Company’s objective is to manage its exposure to fluctuating costs of raw materials.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Company’s exposure to market risk has been discussed in the 2025 Form 10-K and there have been no significant changes since that time.</w:t>
      </w:r>
    </w:p>
    <w:p>
      <w:pPr>
        <w:pStyle w:val="Heading2"/>
        <w:bidi w:val="0"/>
        <w:spacing w:before="360" w:after="283"/>
        <w:jc w:val="both"/>
        <w:rPr>
          <w:rFonts w:ascii="Times New Roman" w:hAnsi="Times New Roman"/>
          <w:sz w:val="20"/>
        </w:rPr>
      </w:pPr>
      <w:bookmarkStart w:id="15" w:name="controls_and_procedures"/>
      <w:bookmarkEnd w:id="15"/>
      <w:r>
        <w:rPr>
          <w:rFonts w:ascii="Times New Roman" w:hAnsi="Times New Roman"/>
          <w:color w:val="000000"/>
          <w:sz w:val="24"/>
        </w:rPr>
        <w:t>Item 4 Controls and</w:t>
      </w:r>
      <w:r>
        <w:rPr>
          <w:rFonts w:ascii="Times New Roman" w:hAnsi="Times New Roman"/>
          <w:color w:val="000000"/>
          <w:sz w:val="20"/>
        </w:rPr>
        <w:t xml:space="preserve"> </w:t>
      </w:r>
      <w:r>
        <w:rPr>
          <w:rFonts w:ascii="Times New Roman" w:hAnsi="Times New Roman"/>
          <w:color w:val="000000"/>
          <w:sz w:val="24"/>
        </w:rPr>
        <w:t>Procedures</w:t>
      </w:r>
    </w:p>
    <w:p>
      <w:pPr>
        <w:pStyle w:val="TextBody"/>
        <w:bidi w:val="0"/>
        <w:spacing w:before="121" w:after="283"/>
        <w:jc w:val="both"/>
        <w:rPr>
          <w:rFonts w:ascii="Times New Roman" w:hAnsi="Times New Roman"/>
          <w:b/>
          <w:color w:val="000000"/>
          <w:sz w:val="24"/>
        </w:rPr>
      </w:pPr>
      <w:r>
        <w:rPr>
          <w:rFonts w:ascii="Times New Roman" w:hAnsi="Times New Roman"/>
          <w:b/>
          <w:color w:val="000000"/>
          <w:sz w:val="24"/>
        </w:rPr>
        <w:t>Evaluation of Disclosure Controls and Procedures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Based on an evaluation carried out as of the end of the period covered by this report, under the supervision and with the participation of our management, our Chief Executive Officer and our Chief Financial Officer concluded that the Company’s “disclosure controls and procedures” (as defined in Rules 13a-15(e) and 15d-15(e) of the Securities Exchange Act of 1934) were effective as of June 30, 2026,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principal executive officer and principal financial officer, as appropriate to allow timely decisions regarding required disclosure.</w:t>
      </w:r>
    </w:p>
    <w:p>
      <w:pPr>
        <w:pStyle w:val="Heading2"/>
        <w:bidi w:val="0"/>
        <w:spacing w:before="360" w:after="283"/>
        <w:jc w:val="both"/>
        <w:rPr>
          <w:rFonts w:ascii="Times New Roman" w:hAnsi="Times New Roman"/>
          <w:color w:val="000000"/>
          <w:sz w:val="24"/>
        </w:rPr>
      </w:pPr>
      <w:r>
        <w:rPr>
          <w:rFonts w:ascii="Times New Roman" w:hAnsi="Times New Roman"/>
          <w:color w:val="000000"/>
          <w:sz w:val="24"/>
        </w:rPr>
        <w:t>Changes in Internal Control over Financial Reporting</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 Company is continuously seeking to improve the efficiency and effectiveness of its operations and of its internal control over financial reporting. This is intended to result in refinements to processes throughout the Company.</w:t>
      </w:r>
    </w:p>
    <w:p>
      <w:pPr>
        <w:pStyle w:val="TextBody"/>
        <w:bidi w:val="0"/>
        <w:spacing w:before="240" w:after="283"/>
        <w:jc w:val="both"/>
        <w:rPr>
          <w:rFonts w:ascii="Times New Roman" w:hAnsi="Times New Roman"/>
          <w:sz w:val="20"/>
        </w:rPr>
      </w:pPr>
      <w:r>
        <w:rPr>
          <w:rFonts w:ascii="Times New Roman" w:hAnsi="Times New Roman"/>
          <w:color w:val="000000"/>
          <w:sz w:val="24"/>
        </w:rPr>
        <w:t>As previously disclosed, we have been developing a new information system platform which began in 2022. The new platform provider is well established in the market. The implementation has been a phased, risk-managed, site deployment following a multistage user acceptance program and the implementation is now complete. In connection with this implementation, the Company has updated its internal controls over financial reporting, as necessary, to accommodate modifications to its business processes and accounting procedures.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There were no changes to our internal control over financial reporting which were identified in connection with the evaluation required by paragraph (d) of Rules 13a-15 and 15d-15 under the Securities Exchange Act of 1934, that have materially affected, or are reasonably likely to materially affect, the Company’s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4"/>
          <w:u w:val="single"/>
        </w:rPr>
      </w:pPr>
      <w:bookmarkStart w:id="16" w:name="part_ii_other_information"/>
      <w:bookmarkEnd w:id="16"/>
      <w:r>
        <w:rPr>
          <w:rFonts w:ascii="Times New Roman" w:hAnsi="Times New Roman"/>
          <w:b/>
          <w:color w:val="000000"/>
          <w:sz w:val="24"/>
          <w:u w:val="single"/>
        </w:rPr>
        <w:t>PART II OTHER INFORMATION</w:t>
      </w:r>
    </w:p>
    <w:p>
      <w:pPr>
        <w:pStyle w:val="Heading2"/>
        <w:bidi w:val="0"/>
        <w:spacing w:before="120" w:after="283"/>
        <w:jc w:val="both"/>
        <w:rPr>
          <w:rFonts w:ascii="Times New Roman" w:hAnsi="Times New Roman"/>
          <w:color w:val="000000"/>
          <w:sz w:val="24"/>
        </w:rPr>
      </w:pPr>
      <w:bookmarkStart w:id="17" w:name="legal_proceedings"/>
      <w:bookmarkEnd w:id="17"/>
      <w:r>
        <w:rPr>
          <w:rFonts w:ascii="Times New Roman" w:hAnsi="Times New Roman"/>
          <w:color w:val="000000"/>
          <w:sz w:val="24"/>
        </w:rPr>
        <w:t>Item 1 Legal Proceedings</w:t>
      </w:r>
    </w:p>
    <w:p>
      <w:pPr>
        <w:pStyle w:val="TextBody"/>
        <w:bidi w:val="0"/>
        <w:spacing w:before="120" w:after="283"/>
        <w:jc w:val="both"/>
        <w:rPr>
          <w:rFonts w:ascii="Times New Roman" w:hAnsi="Times New Roman"/>
          <w:sz w:val="20"/>
        </w:rPr>
      </w:pPr>
      <w:r>
        <w:rPr>
          <w:rFonts w:ascii="Times New Roman" w:hAnsi="Times New Roman"/>
          <w:color w:val="000000"/>
          <w:sz w:val="24"/>
          <w:u w:val="single"/>
        </w:rPr>
        <w:t>Le</w:t>
      </w:r>
      <w:r>
        <w:rPr>
          <w:rFonts w:ascii="Times New Roman" w:hAnsi="Times New Roman"/>
          <w:color w:val="000000"/>
          <w:sz w:val="24"/>
        </w:rPr>
        <w:t>g</w:t>
      </w:r>
      <w:r>
        <w:rPr>
          <w:rFonts w:ascii="Times New Roman" w:hAnsi="Times New Roman"/>
          <w:color w:val="000000"/>
          <w:sz w:val="24"/>
          <w:u w:val="single"/>
        </w:rPr>
        <w:t>al matters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We are involved from time to time in claims and legal proceedings that result from, and are incidental to, the conduct of our business including business and commercial litigation, employee and product liability claims.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As reported in our 2023 Form 10-K, we have incurred financial losses and lodged a civil and criminal legal claim related to a misappropriation of inventory in Brazil. At the time of filing, there have been no significant developments to report in relation to the claims being made. Consistent with prior quarters, a corresponding asset for the potential legal or insurance recoveries has not been recorded for the resulting financial losses arising from this matter.</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In addition, unrelated to the Brazil matter, in the unlikely event there are an unexpectedly large number of individual claims or proceedings with an adverse resolution, this could in the aggregate have a material adverse effect on the results of operations for a particular year or quarter.</w:t>
      </w:r>
    </w:p>
    <w:p>
      <w:pPr>
        <w:pStyle w:val="Heading2"/>
        <w:bidi w:val="0"/>
        <w:spacing w:before="360" w:after="283"/>
        <w:jc w:val="both"/>
        <w:rPr>
          <w:rFonts w:ascii="Times New Roman" w:hAnsi="Times New Roman"/>
          <w:color w:val="000000"/>
          <w:sz w:val="24"/>
        </w:rPr>
      </w:pPr>
      <w:bookmarkStart w:id="18" w:name="risk_factors"/>
      <w:bookmarkEnd w:id="18"/>
      <w:r>
        <w:rPr>
          <w:rFonts w:ascii="Times New Roman" w:hAnsi="Times New Roman"/>
          <w:color w:val="000000"/>
          <w:sz w:val="24"/>
        </w:rPr>
        <w:t>Item 1A Risk Factors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Information regarding risk factors that could have a material impact on our results of operations or financial condition are described under “Risk Factors” in Item 1A of Part I of our 2025 Form 10-K. In management’s view, there have been no material changes in the risk factors facing the Company as disclosed in those SEC filings.</w:t>
      </w:r>
    </w:p>
    <w:p>
      <w:pPr>
        <w:pStyle w:val="Heading2"/>
        <w:bidi w:val="0"/>
        <w:spacing w:before="360" w:after="283"/>
        <w:jc w:val="both"/>
        <w:rPr>
          <w:rFonts w:ascii="Times New Roman" w:hAnsi="Times New Roman"/>
          <w:color w:val="000000"/>
          <w:sz w:val="24"/>
        </w:rPr>
      </w:pPr>
      <w:bookmarkStart w:id="19" w:name="unregistered_sales_of_equity_securities"/>
      <w:bookmarkEnd w:id="19"/>
      <w:r>
        <w:rPr>
          <w:rFonts w:ascii="Times New Roman" w:hAnsi="Times New Roman"/>
          <w:color w:val="000000"/>
          <w:sz w:val="24"/>
        </w:rPr>
        <w:t>Item 2 Unregistered Sales of Equity Securities and Use of Proceeds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There have been no unregistered sales of equity securities.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On March 10, 2025, the Company announced a repurchase program which allows for up to $50 million of the Company’s common stock to be repurchased in the open market over a three-year period commencing on March 10, 2025.</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On May 7, 2026, the Company announced a new repurchase program which allows for up to $75 million of the Company’s common stock to be repurchased in the open market over a three-year period commencing on May 12, 2026. This replaces the $50 million repurchase authorization announced on March 10, 2025.</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 also repurchases its common stock in connection with the exercising of stock options by directors and employees. The following table provides information about our repurchases of equity securities in the three months ended June 30, 2026.</w:t>
      </w:r>
    </w:p>
    <w:p>
      <w:pPr>
        <w:pStyle w:val="TextBody"/>
        <w:bidi w:val="0"/>
        <w:jc w:val="both"/>
        <w:rPr/>
      </w:pPr>
      <w:r>
        <w:rPr/>
        <w:t> </w:t>
      </w:r>
    </w:p>
    <w:tbl>
      <w:tblPr>
        <w:tblW w:w="9618" w:type="dxa"/>
        <w:jc w:val="left"/>
        <w:tblInd w:w="0" w:type="dxa"/>
        <w:tblLayout w:type="fixed"/>
        <w:tblCellMar>
          <w:top w:w="28" w:type="dxa"/>
          <w:left w:w="28" w:type="dxa"/>
          <w:bottom w:w="28" w:type="dxa"/>
          <w:right w:w="28" w:type="dxa"/>
        </w:tblCellMar>
      </w:tblPr>
      <w:tblGrid>
        <w:gridCol w:w="3121"/>
        <w:gridCol w:w="146"/>
        <w:gridCol w:w="194"/>
        <w:gridCol w:w="901"/>
        <w:gridCol w:w="146"/>
        <w:gridCol w:w="146"/>
        <w:gridCol w:w="354"/>
        <w:gridCol w:w="786"/>
        <w:gridCol w:w="146"/>
        <w:gridCol w:w="146"/>
        <w:gridCol w:w="268"/>
        <w:gridCol w:w="1247"/>
        <w:gridCol w:w="146"/>
        <w:gridCol w:w="146"/>
        <w:gridCol w:w="231"/>
        <w:gridCol w:w="511"/>
        <w:gridCol w:w="160"/>
        <w:gridCol w:w="823"/>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31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w:t>
              <w:br/>
              <w:t>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w:t>
              <w:br/>
              <w:t>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 purchased</w:t>
              <w:br/>
              <w:t>as part of publicly</w:t>
              <w:br/>
              <w:t>announced plans or</w:t>
              <w:br/>
              <w:t>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w:t>
              <w:br/>
              <w:t>value of shares that</w:t>
              <w:br/>
              <w:t>may yet be purchased</w:t>
              <w:br/>
              <w:t>under the plans or</w:t>
              <w:br/>
              <w:t>programs</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2026 through April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million</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2026 through May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million</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million</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both"/>
        <w:rPr>
          <w:rFonts w:ascii="Times New Roman" w:hAnsi="Times New Roman"/>
          <w:color w:val="000000"/>
          <w:sz w:val="24"/>
        </w:rPr>
      </w:pPr>
      <w:bookmarkStart w:id="20" w:name="defaults_upon_senior_securities"/>
      <w:bookmarkEnd w:id="20"/>
      <w:r>
        <w:rPr>
          <w:rFonts w:ascii="Times New Roman" w:hAnsi="Times New Roman"/>
          <w:color w:val="000000"/>
          <w:sz w:val="24"/>
        </w:rPr>
        <w:t>Item 3 Defaults Upon Senior Securities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None.</w:t>
      </w:r>
    </w:p>
    <w:p>
      <w:pPr>
        <w:pStyle w:val="Heading2"/>
        <w:bidi w:val="0"/>
        <w:spacing w:before="360" w:after="283"/>
        <w:jc w:val="both"/>
        <w:rPr>
          <w:rFonts w:ascii="Times New Roman" w:hAnsi="Times New Roman"/>
          <w:color w:val="000000"/>
          <w:sz w:val="24"/>
        </w:rPr>
      </w:pPr>
      <w:bookmarkStart w:id="21" w:name="mine_safety_disclosures"/>
      <w:bookmarkEnd w:id="21"/>
      <w:r>
        <w:rPr>
          <w:rFonts w:ascii="Times New Roman" w:hAnsi="Times New Roman"/>
          <w:color w:val="000000"/>
          <w:sz w:val="24"/>
        </w:rPr>
        <w:t>Item 4 Mine Safety Disclosures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Not applicable.</w:t>
      </w:r>
    </w:p>
    <w:p>
      <w:pPr>
        <w:pStyle w:val="Heading2"/>
        <w:bidi w:val="0"/>
        <w:spacing w:before="360" w:after="283"/>
        <w:jc w:val="both"/>
        <w:rPr>
          <w:rFonts w:ascii="Times New Roman" w:hAnsi="Times New Roman"/>
          <w:color w:val="000000"/>
          <w:sz w:val="24"/>
        </w:rPr>
      </w:pPr>
      <w:bookmarkStart w:id="22" w:name="other_information"/>
      <w:bookmarkEnd w:id="22"/>
      <w:r>
        <w:rPr>
          <w:rFonts w:ascii="Times New Roman" w:hAnsi="Times New Roman"/>
          <w:color w:val="000000"/>
          <w:sz w:val="24"/>
        </w:rPr>
        <w:t>Item 5 Other Information</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 (b), and (c) – 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both"/>
        <w:rPr>
          <w:rFonts w:ascii="Times New Roman" w:hAnsi="Times New Roman"/>
          <w:color w:val="000000"/>
          <w:sz w:val="24"/>
        </w:rPr>
      </w:pPr>
      <w:bookmarkStart w:id="23" w:name="exhibits"/>
      <w:bookmarkEnd w:id="23"/>
      <w:r>
        <w:rPr>
          <w:rFonts w:ascii="Times New Roman" w:hAnsi="Times New Roman"/>
          <w:color w:val="000000"/>
          <w:sz w:val="24"/>
        </w:rPr>
        <w:t>Item 6 Exhibits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
        <w:gridCol w:w="146"/>
        <w:gridCol w:w="9518"/>
      </w:tblGrid>
      <w:tr>
        <w:trPr/>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18" w:type="dxa"/>
            <w:tcBorders/>
            <w:vAlign w:val="center"/>
          </w:tcPr>
          <w:p>
            <w:pPr>
              <w:pStyle w:val="TableContents"/>
              <w:bidi w:val="0"/>
              <w:spacing w:before="0" w:after="283"/>
              <w:jc w:val="left"/>
              <w:rPr>
                <w:sz w:val="4"/>
                <w:szCs w:val="4"/>
              </w:rPr>
            </w:pPr>
            <w:r>
              <w:rPr>
                <w:sz w:val="4"/>
                <w:szCs w:val="4"/>
              </w:rPr>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18" w:type="dxa"/>
            <w:tcBorders/>
            <w:tcMar>
              <w:top w:w="0" w:type="dxa"/>
              <w:left w:w="0" w:type="dxa"/>
              <w:bottom w:w="0" w:type="dxa"/>
              <w:right w:w="0" w:type="dxa"/>
            </w:tcMar>
            <w:vAlign w:val="center"/>
          </w:tcPr>
          <w:p>
            <w:pPr>
              <w:pStyle w:val="TableContents"/>
              <w:bidi w:val="0"/>
              <w:spacing w:before="0" w:after="283"/>
              <w:jc w:val="left"/>
              <w:rPr/>
            </w:pPr>
            <w:hyperlink w:anchor="iosp-ex31_1.htm">
              <w:r>
                <w:rPr>
                  <w:rStyle w:val="InternetLink"/>
                  <w:rFonts w:ascii="Times New Roman" w:hAnsi="Times New Roman"/>
                  <w:color w:val="0000FF"/>
                  <w:sz w:val="24"/>
                  <w:u w:val="single"/>
                </w:rPr>
                <w:t>Certification of Chief Executive Officer Pursuant to Section 302 of the Sarbanes-Oxley Act of 2002.</w:t>
              </w:r>
            </w:hyperlink>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18" w:type="dxa"/>
            <w:tcBorders/>
            <w:tcMar>
              <w:top w:w="0" w:type="dxa"/>
              <w:left w:w="0" w:type="dxa"/>
              <w:bottom w:w="0" w:type="dxa"/>
              <w:right w:w="0" w:type="dxa"/>
            </w:tcMar>
            <w:vAlign w:val="center"/>
          </w:tcPr>
          <w:p>
            <w:pPr>
              <w:pStyle w:val="TableContents"/>
              <w:bidi w:val="0"/>
              <w:spacing w:before="0" w:after="283"/>
              <w:jc w:val="left"/>
              <w:rPr/>
            </w:pPr>
            <w:hyperlink w:anchor="iosp-ex31_2.htm">
              <w:r>
                <w:rPr>
                  <w:rStyle w:val="InternetLink"/>
                  <w:rFonts w:ascii="Times New Roman" w:hAnsi="Times New Roman"/>
                  <w:color w:val="0000FF"/>
                  <w:sz w:val="24"/>
                  <w:u w:val="single"/>
                </w:rPr>
                <w:t>Certification of Chief Financial Officer Pursuant to Section 302 of the Sarbanes-Oxley Act of 2002.</w:t>
              </w:r>
            </w:hyperlink>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18" w:type="dxa"/>
            <w:tcBorders/>
            <w:tcMar>
              <w:top w:w="0" w:type="dxa"/>
              <w:left w:w="0" w:type="dxa"/>
              <w:bottom w:w="0" w:type="dxa"/>
              <w:right w:w="0" w:type="dxa"/>
            </w:tcMar>
            <w:vAlign w:val="center"/>
          </w:tcPr>
          <w:p>
            <w:pPr>
              <w:pStyle w:val="TableContents"/>
              <w:bidi w:val="0"/>
              <w:spacing w:before="0" w:after="283"/>
              <w:jc w:val="left"/>
              <w:rPr/>
            </w:pPr>
            <w:hyperlink w:anchor="iosp-ex32_1.htm">
              <w:r>
                <w:rPr>
                  <w:rStyle w:val="InternetLink"/>
                  <w:rFonts w:ascii="Times New Roman" w:hAnsi="Times New Roman"/>
                  <w:color w:val="0000FF"/>
                  <w:sz w:val="24"/>
                  <w:u w:val="single"/>
                </w:rPr>
                <w:t>Certification of Chief Executive Officer Pursuant to Section 906 of the Sarbanes-Oxley Act of 2002.</w:t>
              </w:r>
            </w:hyperlink>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18" w:type="dxa"/>
            <w:tcBorders/>
            <w:tcMar>
              <w:top w:w="0" w:type="dxa"/>
              <w:left w:w="0" w:type="dxa"/>
              <w:bottom w:w="0" w:type="dxa"/>
              <w:right w:w="0" w:type="dxa"/>
            </w:tcMar>
            <w:vAlign w:val="center"/>
          </w:tcPr>
          <w:p>
            <w:pPr>
              <w:pStyle w:val="TableContents"/>
              <w:bidi w:val="0"/>
              <w:spacing w:before="0" w:after="283"/>
              <w:jc w:val="left"/>
              <w:rPr/>
            </w:pPr>
            <w:hyperlink w:anchor="iosp-ex32_2.htm">
              <w:r>
                <w:rPr>
                  <w:rStyle w:val="InternetLink"/>
                  <w:rFonts w:ascii="Times New Roman" w:hAnsi="Times New Roman"/>
                  <w:color w:val="0000FF"/>
                  <w:sz w:val="24"/>
                  <w:u w:val="single"/>
                </w:rPr>
                <w:t>Certification of Chief Financial Officer Pursuant to Section 906 of the Sarbanes-Oxley Act of 2002.</w:t>
              </w:r>
            </w:hyperlink>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XBRL Instance Document and Related Item - The instance document does not appear in the interactive data file because its XBRL tags are embedded within the inline XBRL document.</w:t>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1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Cover Page Interactive Data File – The cover page XBRL tags are embedded within the inline XBRL document.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4"/>
          <w:u w:val="single"/>
        </w:rPr>
      </w:pPr>
      <w:bookmarkStart w:id="24" w:name="signatures"/>
      <w:bookmarkEnd w:id="24"/>
      <w:r>
        <w:rPr>
          <w:rFonts w:ascii="Times New Roman" w:hAnsi="Times New Roman"/>
          <w:b/>
          <w:color w:val="000000"/>
          <w:sz w:val="24"/>
          <w:u w:val="single"/>
        </w:rPr>
        <w:t>SIGNATURES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8204" w:type="dxa"/>
        <w:jc w:val="left"/>
        <w:tblInd w:w="0" w:type="dxa"/>
        <w:tblLayout w:type="fixed"/>
        <w:tblCellMar>
          <w:top w:w="28" w:type="dxa"/>
          <w:left w:w="28" w:type="dxa"/>
          <w:bottom w:w="28" w:type="dxa"/>
          <w:right w:w="28" w:type="dxa"/>
        </w:tblCellMar>
      </w:tblPr>
      <w:tblGrid>
        <w:gridCol w:w="2161"/>
        <w:gridCol w:w="391"/>
        <w:gridCol w:w="146"/>
        <w:gridCol w:w="5506"/>
      </w:tblGrid>
      <w:tr>
        <w:trPr/>
        <w:tc>
          <w:tcPr>
            <w:tcW w:w="21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06" w:type="dxa"/>
            <w:tcBorders/>
            <w:vAlign w:val="center"/>
          </w:tcPr>
          <w:p>
            <w:pPr>
              <w:pStyle w:val="TableContents"/>
              <w:bidi w:val="0"/>
              <w:spacing w:before="0" w:after="283"/>
              <w:jc w:val="left"/>
              <w:rPr>
                <w:sz w:val="4"/>
                <w:szCs w:val="4"/>
              </w:rPr>
            </w:pPr>
            <w:r>
              <w:rPr>
                <w:sz w:val="4"/>
                <w:szCs w:val="4"/>
              </w:rPr>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0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4"/>
              </w:rPr>
            </w:pPr>
            <w:r>
              <w:rPr>
                <w:rFonts w:ascii="Times New Roman" w:hAnsi="Times New Roman"/>
                <w:color w:val="000000"/>
                <w:sz w:val="24"/>
              </w:rPr>
              <w:t>INNOSPEC INC.</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043" w:type="dxa"/>
            <w:gridSpan w:val="3"/>
            <w:tcBorders/>
            <w:tcMar>
              <w:top w:w="0" w:type="dxa"/>
              <w:left w:w="0" w:type="dxa"/>
              <w:bottom w:w="0" w:type="dxa"/>
              <w:right w:w="0" w:type="dxa"/>
            </w:tcMar>
            <w:vAlign w:val="center"/>
          </w:tcPr>
          <w:p>
            <w:pPr>
              <w:pStyle w:val="Heading2"/>
              <w:bidi w:val="0"/>
              <w:spacing w:before="200" w:after="120"/>
              <w:jc w:val="center"/>
              <w:rPr>
                <w:rFonts w:ascii="Times New Roman" w:hAnsi="Times New Roman"/>
                <w:color w:val="000000"/>
                <w:sz w:val="24"/>
              </w:rPr>
            </w:pPr>
            <w:r>
              <w:rPr>
                <w:rFonts w:ascii="Times New Roman" w:hAnsi="Times New Roman"/>
                <w:color w:val="000000"/>
                <w:sz w:val="24"/>
              </w:rPr>
              <w:t>Registrant</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August 5, 2026</w:t>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color w:val="000000"/>
              </w:rPr>
            </w:pPr>
            <w:r>
              <w:rPr>
                <w:color w:val="000000"/>
              </w:rPr>
              <w:t> </w:t>
            </w:r>
            <w:r>
              <w:rPr>
                <w:rFonts w:ascii="Times New Roman" w:hAnsi="Times New Roman"/>
                <w:color w:val="000000"/>
                <w:sz w:val="24"/>
              </w:rPr>
              <w:t>/s/ PATRICK S. WILLIAMS</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6" w:type="dxa"/>
            <w:tcBorders/>
            <w:tcMar>
              <w:top w:w="0" w:type="dxa"/>
              <w:left w:w="0" w:type="dxa"/>
              <w:bottom w:w="0" w:type="dxa"/>
              <w:right w:w="0" w:type="dxa"/>
            </w:tcMar>
            <w:vAlign w:val="center"/>
          </w:tcPr>
          <w:p>
            <w:pPr>
              <w:pStyle w:val="Heading2"/>
              <w:bidi w:val="0"/>
              <w:spacing w:before="200" w:after="120"/>
              <w:jc w:val="center"/>
              <w:rPr>
                <w:rFonts w:ascii="Times New Roman" w:hAnsi="Times New Roman"/>
                <w:color w:val="000000"/>
                <w:sz w:val="24"/>
              </w:rPr>
            </w:pPr>
            <w:r>
              <w:rPr>
                <w:rFonts w:ascii="Times New Roman" w:hAnsi="Times New Roman"/>
                <w:color w:val="000000"/>
                <w:sz w:val="24"/>
              </w:rPr>
              <w:t xml:space="preserve">Patrick S. Williams </w:t>
            </w:r>
          </w:p>
          <w:p>
            <w:pPr>
              <w:pStyle w:val="Heading2"/>
              <w:bidi w:val="0"/>
              <w:spacing w:before="200" w:after="120"/>
              <w:jc w:val="center"/>
              <w:rPr>
                <w:rFonts w:ascii="Times New Roman" w:hAnsi="Times New Roman"/>
                <w:color w:val="000000"/>
                <w:sz w:val="24"/>
              </w:rPr>
            </w:pPr>
            <w:r>
              <w:rPr>
                <w:rFonts w:ascii="Times New Roman" w:hAnsi="Times New Roman"/>
                <w:color w:val="000000"/>
                <w:sz w:val="24"/>
              </w:rPr>
              <w:t>President and Chief Executive Officer</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6" w:type="dxa"/>
            <w:tcBorders/>
            <w:tcMar>
              <w:top w:w="0" w:type="dxa"/>
              <w:left w:w="0" w:type="dxa"/>
              <w:bottom w:w="0" w:type="dxa"/>
              <w:right w:w="0" w:type="dxa"/>
            </w:tcMar>
            <w:vAlign w:val="center"/>
          </w:tcPr>
          <w:p>
            <w:pPr>
              <w:pStyle w:val="Heading2"/>
              <w:bidi w:val="0"/>
              <w:spacing w:before="200" w:after="120"/>
              <w:jc w:val="center"/>
              <w:rPr/>
            </w:pPr>
            <w:r>
              <w:rPr/>
              <w:t> </w:t>
            </w:r>
          </w:p>
        </w:tc>
      </w:tr>
      <w:tr>
        <w:trPr/>
        <w:tc>
          <w:tcPr>
            <w:tcW w:w="2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 August 5, 2026</w:t>
            </w:r>
          </w:p>
        </w:tc>
        <w:tc>
          <w:tcPr>
            <w:tcW w:w="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6" w:type="dxa"/>
            <w:tcBorders/>
            <w:tcMar>
              <w:top w:w="0" w:type="dxa"/>
              <w:left w:w="0" w:type="dxa"/>
              <w:bottom w:w="0" w:type="dxa"/>
              <w:right w:w="0" w:type="dxa"/>
            </w:tcMar>
            <w:vAlign w:val="center"/>
          </w:tcPr>
          <w:p>
            <w:pPr>
              <w:pStyle w:val="Heading2"/>
              <w:pBdr>
                <w:bottom w:val="single" w:sz="6" w:space="1" w:color="000000"/>
              </w:pBdr>
              <w:bidi w:val="0"/>
              <w:spacing w:before="200" w:after="120"/>
              <w:jc w:val="center"/>
              <w:rPr>
                <w:rFonts w:ascii="Times New Roman" w:hAnsi="Times New Roman"/>
                <w:sz w:val="24"/>
              </w:rPr>
            </w:pPr>
            <w:r>
              <w:rPr>
                <w:rFonts w:ascii="Times New Roman" w:hAnsi="Times New Roman"/>
                <w:color w:val="000000"/>
                <w:sz w:val="24"/>
              </w:rPr>
              <w:t xml:space="preserve">/s/ </w:t>
            </w:r>
            <w:r>
              <w:rPr>
                <w:rFonts w:ascii="Times New Roman" w:hAnsi="Times New Roman"/>
                <w:b w:val="false"/>
                <w:color w:val="000000"/>
                <w:sz w:val="24"/>
              </w:rPr>
              <w:t>IAN P. CLEMINSON</w:t>
            </w:r>
          </w:p>
        </w:tc>
      </w:tr>
      <w:tr>
        <w:trPr/>
        <w:tc>
          <w:tcPr>
            <w:tcW w:w="2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06" w:type="dxa"/>
            <w:tcBorders/>
            <w:tcMar>
              <w:top w:w="0" w:type="dxa"/>
              <w:left w:w="0" w:type="dxa"/>
              <w:bottom w:w="0" w:type="dxa"/>
              <w:right w:w="0" w:type="dxa"/>
            </w:tcMar>
            <w:vAlign w:val="center"/>
          </w:tcPr>
          <w:p>
            <w:pPr>
              <w:pStyle w:val="Heading2"/>
              <w:bidi w:val="0"/>
              <w:spacing w:before="200" w:after="120"/>
              <w:jc w:val="center"/>
              <w:rPr>
                <w:rFonts w:ascii="Times New Roman" w:hAnsi="Times New Roman"/>
                <w:color w:val="000000"/>
                <w:sz w:val="24"/>
              </w:rPr>
            </w:pPr>
            <w:r>
              <w:rPr>
                <w:rFonts w:ascii="Times New Roman" w:hAnsi="Times New Roman"/>
                <w:color w:val="000000"/>
                <w:sz w:val="24"/>
              </w:rPr>
              <w:t>Ian P. Cleminson</w:t>
            </w:r>
          </w:p>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Executive Vice President and 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25" w:name="iosp-ex31_1.htm"/>
      <w:bookmarkStart w:id="26" w:name="ksiospex31_1"/>
      <w:bookmarkEnd w:id="25"/>
      <w:bookmarkEnd w:id="26"/>
      <w:r>
        <w:rPr>
          <w:rFonts w:ascii="Times New Roman" w:hAnsi="Times New Roman"/>
          <w:b/>
          <w:color w:val="000000"/>
          <w:sz w:val="18"/>
        </w:rPr>
        <w:t>Exhibit 31.1</w:t>
      </w:r>
      <w:r>
        <w:br w:type="page"/>
      </w:r>
    </w:p>
    <w:p>
      <w:pPr>
        <w:pStyle w:val="Heading2"/>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CERTIFICATION BY PATRICK S. WILLIAMS PURSUANT TO</w:t>
      </w:r>
    </w:p>
    <w:p>
      <w:pPr>
        <w:pStyle w:val="TextBody"/>
        <w:bidi w:val="0"/>
        <w:jc w:val="center"/>
        <w:rPr>
          <w:rFonts w:ascii="Times New Roman" w:hAnsi="Times New Roman"/>
          <w:b/>
          <w:color w:val="000000"/>
          <w:sz w:val="18"/>
        </w:rPr>
      </w:pPr>
      <w:r>
        <w:rPr>
          <w:rFonts w:ascii="Times New Roman" w:hAnsi="Times New Roman"/>
          <w:b/>
          <w:color w:val="000000"/>
          <w:sz w:val="18"/>
        </w:rPr>
        <w:t>SECURITIES EXCHANGE ACT 1934 RULE 13a-14 and 15d-14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Patrick S. Williams, certify that: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 have reviewed this quarterly report on Form 10-Q of Innospec Inc.;</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15d-15(f)) for the registrant and have: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18"/>
          <w:u w:val="single"/>
        </w:rPr>
      </w:pPr>
      <w:r>
        <w:rPr>
          <w:rFonts w:ascii="Times New Roman" w:hAnsi="Times New Roman"/>
          <w:color w:val="000000"/>
          <w:sz w:val="18"/>
          <w:u w:val="single"/>
        </w:rPr>
        <w:t xml:space="preserve">/s/ PATRICK S. WILLIAMS </w:t>
      </w:r>
    </w:p>
    <w:p>
      <w:pPr>
        <w:pStyle w:val="TextBody"/>
        <w:bidi w:val="0"/>
        <w:jc w:val="left"/>
        <w:rPr>
          <w:rFonts w:ascii="Times New Roman" w:hAnsi="Times New Roman"/>
          <w:b/>
          <w:color w:val="000000"/>
          <w:sz w:val="18"/>
        </w:rPr>
      </w:pPr>
      <w:r>
        <w:rPr>
          <w:rFonts w:ascii="Times New Roman" w:hAnsi="Times New Roman"/>
          <w:b/>
          <w:color w:val="000000"/>
          <w:sz w:val="18"/>
        </w:rPr>
        <w:t>Patrick S. Williams</w:t>
      </w:r>
    </w:p>
    <w:p>
      <w:pPr>
        <w:pStyle w:val="TextBody"/>
        <w:bidi w:val="0"/>
        <w:spacing w:before="11" w:after="283"/>
        <w:jc w:val="left"/>
        <w:rPr>
          <w:rFonts w:ascii="Times New Roman" w:hAnsi="Times New Roman"/>
          <w:b/>
          <w:color w:val="000000"/>
          <w:sz w:val="18"/>
        </w:rPr>
      </w:pPr>
      <w:r>
        <w:rPr>
          <w:rFonts w:ascii="Times New Roman" w:hAnsi="Times New Roman"/>
          <w:b/>
          <w:color w:val="000000"/>
          <w:sz w:val="18"/>
        </w:rPr>
        <w:t>President and Chief Executive Officer</w:t>
      </w:r>
    </w:p>
    <w:p>
      <w:pPr>
        <w:pStyle w:val="TextBody"/>
        <w:bidi w:val="0"/>
        <w:spacing w:before="12" w:after="283"/>
        <w:jc w:val="left"/>
        <w:rPr>
          <w:rFonts w:ascii="Times New Roman" w:hAnsi="Times New Roman"/>
          <w:color w:val="000000"/>
          <w:sz w:val="18"/>
        </w:rPr>
      </w:pPr>
      <w:r>
        <w:rPr>
          <w:rFonts w:ascii="Times New Roman" w:hAnsi="Times New Roman"/>
          <w:color w:val="000000"/>
          <w:sz w:val="18"/>
        </w:rPr>
        <w:t>August 5,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27" w:name="iosp-ex31_2.htm"/>
      <w:bookmarkStart w:id="28" w:name="ksiospex31_2"/>
      <w:bookmarkEnd w:id="27"/>
      <w:bookmarkEnd w:id="28"/>
      <w:r>
        <w:rPr>
          <w:rFonts w:ascii="Times New Roman" w:hAnsi="Times New Roman"/>
          <w:b/>
          <w:color w:val="000000"/>
          <w:sz w:val="18"/>
        </w:rPr>
        <w:t>Exhibit 31.2</w:t>
      </w:r>
      <w:r>
        <w:br w:type="page"/>
      </w:r>
    </w:p>
    <w:p>
      <w:pPr>
        <w:pStyle w:val="TextBody"/>
        <w:bidi w:val="0"/>
        <w:spacing w:before="180" w:after="283"/>
        <w:jc w:val="center"/>
        <w:rPr>
          <w:rFonts w:ascii="Times New Roman" w:hAnsi="Times New Roman"/>
          <w:b/>
          <w:color w:val="000000"/>
          <w:sz w:val="18"/>
        </w:rPr>
      </w:pPr>
      <w:r>
        <w:rPr>
          <w:rFonts w:ascii="Times New Roman" w:hAnsi="Times New Roman"/>
          <w:b/>
          <w:color w:val="000000"/>
          <w:sz w:val="18"/>
        </w:rPr>
        <w:t>CERTIFICATION BY IAN P. CLEMINSON PURSUANT TO</w:t>
      </w:r>
    </w:p>
    <w:p>
      <w:pPr>
        <w:pStyle w:val="TextBody"/>
        <w:bidi w:val="0"/>
        <w:jc w:val="center"/>
        <w:rPr>
          <w:rFonts w:ascii="Times New Roman" w:hAnsi="Times New Roman"/>
          <w:b/>
          <w:color w:val="000000"/>
          <w:sz w:val="18"/>
        </w:rPr>
      </w:pPr>
      <w:r>
        <w:rPr>
          <w:rFonts w:ascii="Times New Roman" w:hAnsi="Times New Roman"/>
          <w:b/>
          <w:color w:val="000000"/>
          <w:sz w:val="18"/>
        </w:rPr>
        <w:t>SECURITIES EXCHANGE ACT 1934 RULE 13a-14 and 15d-14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Ian P. Cleminson, certify that: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 have reviewed this quarterly report on Form 10-Q of Innospec Inc.;</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4.</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15d-15(f)) for the registrant and have:</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5.</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spacing w:before="3" w:after="283"/>
        <w:jc w:val="left"/>
        <w:rPr/>
      </w:pPr>
      <w:r>
        <w:rPr/>
        <w:t> </w:t>
      </w:r>
    </w:p>
    <w:p>
      <w:pPr>
        <w:pStyle w:val="TextBody"/>
        <w:bidi w:val="0"/>
        <w:jc w:val="left"/>
        <w:rPr>
          <w:rFonts w:ascii="Times New Roman" w:hAnsi="Times New Roman"/>
          <w:color w:val="000000"/>
          <w:sz w:val="18"/>
          <w:u w:val="single"/>
        </w:rPr>
      </w:pPr>
      <w:r>
        <w:rPr>
          <w:rFonts w:ascii="Times New Roman" w:hAnsi="Times New Roman"/>
          <w:color w:val="000000"/>
          <w:sz w:val="18"/>
          <w:u w:val="single"/>
        </w:rPr>
        <w:t>/s/ IAN P. CLEMINSON</w:t>
      </w:r>
    </w:p>
    <w:p>
      <w:pPr>
        <w:pStyle w:val="TextBody"/>
        <w:bidi w:val="0"/>
        <w:jc w:val="left"/>
        <w:rPr>
          <w:rFonts w:ascii="Times New Roman" w:hAnsi="Times New Roman"/>
          <w:b/>
          <w:color w:val="000000"/>
          <w:sz w:val="18"/>
        </w:rPr>
      </w:pPr>
      <w:r>
        <w:rPr>
          <w:rFonts w:ascii="Times New Roman" w:hAnsi="Times New Roman"/>
          <w:b/>
          <w:color w:val="000000"/>
          <w:sz w:val="18"/>
        </w:rPr>
        <w:t>Ian P. Cleminson</w:t>
      </w:r>
    </w:p>
    <w:p>
      <w:pPr>
        <w:pStyle w:val="TextBody"/>
        <w:bidi w:val="0"/>
        <w:jc w:val="left"/>
        <w:rPr>
          <w:rFonts w:ascii="Times New Roman" w:hAnsi="Times New Roman"/>
          <w:b/>
          <w:color w:val="000000"/>
          <w:sz w:val="18"/>
        </w:rPr>
      </w:pPr>
      <w:r>
        <w:rPr>
          <w:rFonts w:ascii="Times New Roman" w:hAnsi="Times New Roman"/>
          <w:b/>
          <w:color w:val="000000"/>
          <w:sz w:val="18"/>
        </w:rPr>
        <w:t>Executive Vice President and Chief Financial Officer</w:t>
      </w:r>
    </w:p>
    <w:p>
      <w:pPr>
        <w:pStyle w:val="TextBody"/>
        <w:bidi w:val="0"/>
        <w:spacing w:before="12" w:after="283"/>
        <w:jc w:val="left"/>
        <w:rPr>
          <w:rFonts w:ascii="Times New Roman" w:hAnsi="Times New Roman"/>
          <w:color w:val="000000"/>
          <w:sz w:val="20"/>
        </w:rPr>
      </w:pPr>
      <w:r>
        <w:rPr>
          <w:rFonts w:ascii="Times New Roman" w:hAnsi="Times New Roman"/>
          <w:color w:val="000000"/>
          <w:sz w:val="20"/>
        </w:rPr>
        <w:t>August 5, 2026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29" w:name="iosp-ex32_1.htm"/>
      <w:bookmarkStart w:id="30" w:name="ksiospex32_1"/>
      <w:bookmarkEnd w:id="29"/>
      <w:bookmarkEnd w:id="30"/>
      <w:r>
        <w:rPr>
          <w:rFonts w:ascii="Times New Roman" w:hAnsi="Times New Roman"/>
          <w:b/>
          <w:color w:val="000000"/>
          <w:sz w:val="18"/>
        </w:rPr>
        <w:t>Exhibit 32.1</w:t>
      </w:r>
      <w:r>
        <w:br w:type="page"/>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Section 1350 Certification</w:t>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by Patrick S. Williams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connection with the Quarterly Report on Form 10-Q of Innospec Inc. (the “Company”) for the period ended June 30, 2026 as filed with the Securities and Exchange Commission on the date hereof (the “Report”), I, Patrick S. Williams, President and Chief Executive Officer of the Company, certify, pursuant to 18 U.S.C. § 1350, as adopted pursuant to § 906 of the Sarbanes-Oxley Act of 2002, that: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 of operations of the Company.</w:t>
      </w:r>
    </w:p>
    <w:p>
      <w:pPr>
        <w:pStyle w:val="TextBody"/>
        <w:bidi w:val="0"/>
        <w:jc w:val="left"/>
        <w:rPr/>
      </w:pPr>
      <w:r>
        <w:rPr/>
        <w:t> </w:t>
      </w:r>
    </w:p>
    <w:p>
      <w:pPr>
        <w:pStyle w:val="TextBody"/>
        <w:bidi w:val="0"/>
        <w:jc w:val="left"/>
        <w:rPr>
          <w:rFonts w:ascii="Times New Roman" w:hAnsi="Times New Roman"/>
          <w:color w:val="000000"/>
          <w:sz w:val="18"/>
          <w:u w:val="single"/>
        </w:rPr>
      </w:pPr>
      <w:r>
        <w:rPr>
          <w:rFonts w:ascii="Times New Roman" w:hAnsi="Times New Roman"/>
          <w:color w:val="000000"/>
          <w:sz w:val="18"/>
          <w:u w:val="single"/>
        </w:rPr>
        <w:t xml:space="preserve">/s/ PATRICK S. WILLIAMS </w:t>
      </w:r>
    </w:p>
    <w:p>
      <w:pPr>
        <w:pStyle w:val="TextBody"/>
        <w:bidi w:val="0"/>
        <w:jc w:val="left"/>
        <w:rPr>
          <w:rFonts w:ascii="Times New Roman" w:hAnsi="Times New Roman"/>
          <w:b/>
          <w:color w:val="000000"/>
          <w:sz w:val="18"/>
        </w:rPr>
      </w:pPr>
      <w:r>
        <w:rPr>
          <w:rFonts w:ascii="Times New Roman" w:hAnsi="Times New Roman"/>
          <w:b/>
          <w:color w:val="000000"/>
          <w:sz w:val="18"/>
        </w:rPr>
        <w:t>Patrick S. Williams</w:t>
      </w:r>
    </w:p>
    <w:p>
      <w:pPr>
        <w:pStyle w:val="TextBody"/>
        <w:bidi w:val="0"/>
        <w:jc w:val="left"/>
        <w:rPr>
          <w:rFonts w:ascii="Times New Roman" w:hAnsi="Times New Roman"/>
          <w:b/>
          <w:color w:val="000000"/>
          <w:sz w:val="18"/>
        </w:rPr>
      </w:pPr>
      <w:r>
        <w:rPr>
          <w:rFonts w:ascii="Times New Roman" w:hAnsi="Times New Roman"/>
          <w:b/>
          <w:color w:val="000000"/>
          <w:sz w:val="18"/>
        </w:rPr>
        <w:t>President and Chief Executive Officer</w:t>
      </w:r>
    </w:p>
    <w:p>
      <w:pPr>
        <w:pStyle w:val="TextBody"/>
        <w:bidi w:val="0"/>
        <w:spacing w:before="12" w:after="283"/>
        <w:jc w:val="left"/>
        <w:rPr>
          <w:rFonts w:ascii="Times New Roman" w:hAnsi="Times New Roman"/>
          <w:color w:val="000000"/>
          <w:sz w:val="20"/>
        </w:rPr>
      </w:pPr>
      <w:r>
        <w:rPr>
          <w:rFonts w:ascii="Times New Roman" w:hAnsi="Times New Roman"/>
          <w:color w:val="000000"/>
          <w:sz w:val="20"/>
        </w:rPr>
        <w:t>August 5, 2026</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foregoing certification is being furnished solely pursuant to 18 U.S.C. § 1350 and is not being filed as part of this Report or as a separate disclosure document.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signed original of this written statement required by 18 U.S.C. § 1350 has been provided to the Company and will be retained by the Company and furnished to the Securities and Exchange Commission upon request.</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31" w:name="iosp-ex32_2.htm"/>
      <w:bookmarkStart w:id="32" w:name="ksiospex32_2"/>
      <w:bookmarkEnd w:id="31"/>
      <w:bookmarkEnd w:id="32"/>
      <w:r>
        <w:rPr>
          <w:rFonts w:ascii="Times New Roman" w:hAnsi="Times New Roman"/>
          <w:b/>
          <w:color w:val="000000"/>
          <w:sz w:val="18"/>
        </w:rPr>
        <w:t>Exhibit 32.2</w:t>
      </w:r>
      <w:r>
        <w:br w:type="page"/>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Section 1350 Certification</w:t>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by Ian P. Cleminson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connection with the Quarterly Report on Form 10-Q of Innospec Inc. (the “Company”) for the period ended June 30, 2026 as filed with the Securities and Exchange Commission on the date hereof (the “Report”), I, Ian P. Cleminson, Executive Vice President and Chief Financial Officer of the Company, certify, pursuant to 18 U.S.C. § 1350, as adopted pursuant to § 906 of the Sarbanes-Oxley Act of 2002, that: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 of operations of the Company.</w:t>
      </w:r>
    </w:p>
    <w:p>
      <w:pPr>
        <w:pStyle w:val="TextBody"/>
        <w:bidi w:val="0"/>
        <w:jc w:val="left"/>
        <w:rPr/>
      </w:pPr>
      <w:r>
        <w:rPr/>
        <w:t> </w:t>
      </w:r>
    </w:p>
    <w:p>
      <w:pPr>
        <w:pStyle w:val="TextBody"/>
        <w:bidi w:val="0"/>
        <w:jc w:val="left"/>
        <w:rPr>
          <w:rFonts w:ascii="Times New Roman" w:hAnsi="Times New Roman"/>
          <w:color w:val="000000"/>
          <w:sz w:val="18"/>
          <w:u w:val="single"/>
        </w:rPr>
      </w:pPr>
      <w:r>
        <w:rPr>
          <w:rFonts w:ascii="Times New Roman" w:hAnsi="Times New Roman"/>
          <w:color w:val="000000"/>
          <w:sz w:val="18"/>
          <w:u w:val="single"/>
        </w:rPr>
        <w:t>/s/ IAN P. CLEMINSON</w:t>
      </w:r>
    </w:p>
    <w:p>
      <w:pPr>
        <w:pStyle w:val="TextBody"/>
        <w:bidi w:val="0"/>
        <w:jc w:val="left"/>
        <w:rPr>
          <w:rFonts w:ascii="Times New Roman" w:hAnsi="Times New Roman"/>
          <w:b/>
          <w:color w:val="000000"/>
          <w:sz w:val="18"/>
        </w:rPr>
      </w:pPr>
      <w:r>
        <w:rPr>
          <w:rFonts w:ascii="Times New Roman" w:hAnsi="Times New Roman"/>
          <w:b/>
          <w:color w:val="000000"/>
          <w:sz w:val="18"/>
        </w:rPr>
        <w:t>Executive Vice President and Chief Financial Officer</w:t>
      </w:r>
    </w:p>
    <w:p>
      <w:pPr>
        <w:pStyle w:val="TextBody"/>
        <w:bidi w:val="0"/>
        <w:jc w:val="left"/>
        <w:rPr>
          <w:rFonts w:ascii="Times New Roman" w:hAnsi="Times New Roman"/>
          <w:b/>
          <w:color w:val="000000"/>
          <w:sz w:val="18"/>
        </w:rPr>
      </w:pPr>
      <w:r>
        <w:rPr>
          <w:rFonts w:ascii="Times New Roman" w:hAnsi="Times New Roman"/>
          <w:b/>
          <w:color w:val="000000"/>
          <w:sz w:val="18"/>
        </w:rPr>
        <w:t>Ian P. Cleminson</w:t>
      </w:r>
    </w:p>
    <w:p>
      <w:pPr>
        <w:pStyle w:val="TextBody"/>
        <w:bidi w:val="0"/>
        <w:spacing w:before="12" w:after="283"/>
        <w:jc w:val="left"/>
        <w:rPr>
          <w:rFonts w:ascii="Times New Roman" w:hAnsi="Times New Roman"/>
          <w:color w:val="000000"/>
          <w:sz w:val="20"/>
        </w:rPr>
      </w:pPr>
      <w:r>
        <w:rPr>
          <w:rFonts w:ascii="Times New Roman" w:hAnsi="Times New Roman"/>
          <w:color w:val="000000"/>
          <w:sz w:val="20"/>
        </w:rPr>
        <w:t>August 5, 2026</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foregoing certification is being furnished solely pursuant to 18 U.S.C. § 1350 and is not being filed as part of this Report or as a separate disclosure document.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signed original of this written statement required by 18 U.S.C. § 1350 has been provided to the Company and will be retained by the Company and furnished to the Securities and Exchange Commission upon request.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11607</Words>
  <Characters>61671</Characters>
  <CharactersWithSpaces>74598</CharactersWithSpaces>
  <Paragraphs>6021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